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ISOLAMENTO_DE_DADOS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 pós-merge</w:t>
      </w:r>
    </w:p>
    <w:p>
      <w:pPr>
        <w:pStyle w:val="IntenseQuote"/>
      </w:pPr>
      <w:r>
        <w:rPr>
          <w:rFonts w:ascii="Courier New" w:hAnsi="Courier New"/>
          <w:sz w:val="18"/>
        </w:rPr>
        <w:t>pente-fino/aplicativo</w:t>
      </w:r>
      <w:r>
        <w:t xml:space="preserve"> (migrations </w:t>
      </w:r>
      <w:r>
        <w:rPr>
          <w:rFonts w:ascii="Courier New" w:hAnsi="Courier New"/>
          <w:sz w:val="18"/>
        </w:rPr>
        <w:t>EnableRlsOnExistingTables</w:t>
      </w:r>
      <w:r>
        <w:t xml:space="preserve"> + </w:t>
      </w:r>
      <w:r>
        <w:rPr>
          <w:rFonts w:ascii="Courier New" w:hAnsi="Courier New"/>
          <w:sz w:val="18"/>
        </w:rPr>
        <w:t>AddAuthCrossTenantRlsPolicies</w:t>
      </w:r>
      <w:r>
        <w:t xml:space="preserve"> + geração de RLS por</w:t>
      </w:r>
    </w:p>
    <w:p>
      <w:pPr>
        <w:pStyle w:val="IntenseQuote"/>
      </w:pPr>
      <w:r>
        <w:t xml:space="preserve">convenção via </w:t>
      </w:r>
      <w:r>
        <w:rPr>
          <w:rFonts w:ascii="Courier New" w:hAnsi="Courier New"/>
          <w:sz w:val="18"/>
        </w:rPr>
        <w:t>EprosMigrationsSqlGenerator</w:t>
      </w:r>
      <w:r>
        <w:t>).</w:t>
      </w:r>
    </w:p>
    <w:p>
      <w:pPr>
        <w:pStyle w:val="Heading2"/>
      </w:pPr>
      <w:r>
        <w:t>1. O que o submódulo faz</w:t>
      </w:r>
    </w:p>
    <w:p>
      <w:r>
        <w:t xml:space="preserve">É a </w:t>
      </w:r>
      <w:r>
        <w:rPr>
          <w:b/>
        </w:rPr>
        <w:t>infraestrutura transversal de multi-tenancy fail-closed</w:t>
      </w:r>
      <w:r>
        <w:t xml:space="preserve"> do Epros. Garante que toda entidade de negócio carregue</w:t>
      </w:r>
    </w:p>
    <w:p>
      <w:r>
        <w:rPr>
          <w:rFonts w:ascii="Courier New" w:hAnsi="Courier New"/>
          <w:sz w:val="18"/>
        </w:rPr>
        <w:t>TenantId</w:t>
      </w:r>
      <w:r>
        <w:t xml:space="preserve"> e que </w:t>
      </w:r>
      <w:r>
        <w:rPr>
          <w:b/>
        </w:rPr>
        <w:t>cada consulta enxergue só o tenant corrente</w:t>
      </w:r>
      <w:r>
        <w:t xml:space="preserve">, com </w:t>
      </w:r>
      <w:r>
        <w:rPr>
          <w:b/>
        </w:rPr>
        <w:t>defesa em profundidade dupla</w:t>
      </w:r>
      <w:r>
        <w:t>: filtro global no</w:t>
      </w:r>
    </w:p>
    <w:p>
      <w:r>
        <w:t>EF Core (aplicação) + Row-Level Security no Postgres (banco). Cobre atribuição automática de tenant/auditoria no</w:t>
      </w:r>
    </w:p>
    <w:p>
      <w:r>
        <w:rPr>
          <w:rFonts w:ascii="Courier New" w:hAnsi="Courier New"/>
          <w:sz w:val="18"/>
        </w:rPr>
        <w:t>SaveChanges</w:t>
      </w:r>
      <w:r>
        <w:t xml:space="preserve">, soft-delete, snake_case, o "plano híbrido" (override do filtro para ver </w:t>
      </w:r>
      <w:r>
        <w:rPr>
          <w:rFonts w:ascii="Courier New" w:hAnsi="Courier New"/>
          <w:sz w:val="18"/>
        </w:rPr>
        <w:t>system</w:t>
      </w:r>
      <w:r>
        <w:t xml:space="preserve"> + tenant), a barreira de</w:t>
      </w:r>
    </w:p>
    <w:p>
      <w:r>
        <w:t>boot contra entidade órfã e o gating por status de assinatura no pipeline HTTP. Não tem tela: é mecanismo herdado por</w:t>
      </w:r>
    </w:p>
    <w:p>
      <w:r>
        <w:t xml:space="preserve">todos os 15 módulos do ERP via um </w:t>
      </w:r>
      <w:r>
        <w:rPr>
          <w:rFonts w:ascii="Courier New" w:hAnsi="Courier New"/>
          <w:sz w:val="18"/>
        </w:rPr>
        <w:t>ContextBase</w:t>
      </w:r>
      <w:r>
        <w:t xml:space="preserve"> comum.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`src/Shared/Epros.Shared/Domain/Entities`</w:t>
      </w:r>
      <w:r>
        <w:t xml:space="preserve"> — </w:t>
      </w:r>
      <w:r>
        <w:rPr>
          <w:rFonts w:ascii="Courier New" w:hAnsi="Courier New"/>
          <w:sz w:val="18"/>
        </w:rPr>
        <w:t>EntidadeSaaSBase</w:t>
      </w:r>
      <w:r>
        <w:t xml:space="preserve"> (base tenantizada/auditável/soft-delete),</w:t>
      </w:r>
    </w:p>
    <w:p>
      <w:r>
        <w:t xml:space="preserve">  markers </w:t>
      </w:r>
      <w:r>
        <w:rPr>
          <w:rFonts w:ascii="Courier New" w:hAnsi="Courier New"/>
          <w:sz w:val="18"/>
        </w:rPr>
        <w:t>IGlobalEntity</w:t>
      </w:r>
      <w:r>
        <w:t xml:space="preserve"> (opt-out do filtro) e </w:t>
      </w:r>
      <w:r>
        <w:rPr>
          <w:rFonts w:ascii="Courier New" w:hAnsi="Courier New"/>
          <w:sz w:val="18"/>
        </w:rPr>
        <w:t>IHardDeletable</w:t>
      </w:r>
      <w:r>
        <w:t xml:space="preserve"> (opt-out do soft-delete); </w:t>
      </w:r>
      <w:r>
        <w:rPr>
          <w:rFonts w:ascii="Courier New" w:hAnsi="Courier New"/>
          <w:sz w:val="18"/>
        </w:rPr>
        <w:t>ConfiguracaoGlobal</w:t>
      </w:r>
      <w:r>
        <w:t>.</w:t>
      </w:r>
    </w:p>
    <w:p>
      <w:pPr>
        <w:pStyle w:val="ListBullet"/>
      </w:pPr>
      <w:r>
        <w:rPr>
          <w:b/>
        </w:rPr>
        <w:t>`src/Shared/Epros.Shared/Application/Contracts`</w:t>
      </w:r>
      <w:r>
        <w:t xml:space="preserve"> — </w:t>
      </w:r>
      <w:r>
        <w:rPr>
          <w:rFonts w:ascii="Courier New" w:hAnsi="Courier New"/>
          <w:sz w:val="18"/>
        </w:rPr>
        <w:t>ITenantProvider</w:t>
      </w:r>
      <w:r>
        <w:t xml:space="preserve"> (</w:t>
      </w:r>
      <w:r>
        <w:rPr>
          <w:rFonts w:ascii="Courier New" w:hAnsi="Courier New"/>
          <w:sz w:val="18"/>
        </w:rPr>
        <w:t>GetTenantId</w:t>
      </w:r>
      <w:r>
        <w:t>/</w:t>
      </w:r>
      <w:r>
        <w:rPr>
          <w:rFonts w:ascii="Courier New" w:hAnsi="Courier New"/>
          <w:sz w:val="18"/>
        </w:rPr>
        <w:t>EhTenantDemo</w:t>
      </w:r>
      <w:r>
        <w:t xml:space="preserve">), </w:t>
      </w:r>
      <w:r>
        <w:rPr>
          <w:rFonts w:ascii="Courier New" w:hAnsi="Courier New"/>
          <w:sz w:val="18"/>
        </w:rPr>
        <w:t>ICurrentUser</w:t>
      </w:r>
      <w:r>
        <w:t>.</w:t>
      </w:r>
    </w:p>
    <w:p>
      <w:pPr>
        <w:pStyle w:val="ListBullet"/>
      </w:pPr>
      <w:r>
        <w:rPr>
          <w:b/>
        </w:rPr>
        <w:t>`src/Infrastructure/Epros.Infrastructure/Data`</w:t>
      </w:r>
      <w:r>
        <w:t xml:space="preserve"> — </w:t>
      </w:r>
      <w:r>
        <w:rPr>
          <w:rFonts w:ascii="Courier New" w:hAnsi="Courier New"/>
          <w:sz w:val="18"/>
        </w:rPr>
        <w:t>ContextBase</w:t>
      </w:r>
      <w:r>
        <w:t xml:space="preserve"> (QueryFilter + auto-contexto + auditoria +</w:t>
      </w:r>
    </w:p>
    <w:p>
      <w:r>
        <w:t xml:space="preserve">  soft-delete + snake_case), </w:t>
      </w:r>
      <w:r>
        <w:rPr>
          <w:rFonts w:ascii="Courier New" w:hAnsi="Courier New"/>
          <w:sz w:val="18"/>
        </w:rPr>
        <w:t>EprosMigrationsSqlGenerator</w:t>
      </w:r>
      <w:r>
        <w:t xml:space="preserve"> (RLS por convenção), </w:t>
      </w:r>
      <w:r>
        <w:rPr>
          <w:rFonts w:ascii="Courier New" w:hAnsi="Courier New"/>
          <w:sz w:val="18"/>
        </w:rPr>
        <w:t>TenantRlsInterceptor</w:t>
      </w:r>
    </w:p>
    <w:p>
      <w:r>
        <w:t xml:space="preserve">  (</w:t>
      </w:r>
      <w:r>
        <w:rPr>
          <w:rFonts w:ascii="Courier New" w:hAnsi="Courier New"/>
          <w:sz w:val="18"/>
        </w:rPr>
        <w:t>SET app.current_tenant_id</w:t>
      </w:r>
      <w:r>
        <w:t xml:space="preserve">), </w:t>
      </w:r>
      <w:r>
        <w:rPr>
          <w:rFonts w:ascii="Courier New" w:hAnsi="Courier New"/>
          <w:sz w:val="18"/>
        </w:rPr>
        <w:t>AuthRlsBypass</w:t>
      </w:r>
      <w:r>
        <w:t xml:space="preserve"> (bypass cross-tenant de auth), </w:t>
      </w:r>
      <w:r>
        <w:rPr>
          <w:b/>
        </w:rPr>
        <w:t>`GuardaEntidadeOrfa`</w:t>
      </w:r>
      <w:r>
        <w:t xml:space="preserve"> (barreira de boot).</w:t>
      </w:r>
    </w:p>
    <w:p>
      <w:pPr>
        <w:pStyle w:val="ListBullet"/>
      </w:pPr>
      <w:r>
        <w:rPr>
          <w:b/>
        </w:rPr>
        <w:t>`src/API/Epros.API/Providers`</w:t>
      </w:r>
      <w:r>
        <w:t xml:space="preserve"> — </w:t>
      </w:r>
      <w:r>
        <w:rPr>
          <w:rFonts w:ascii="Courier New" w:hAnsi="Courier New"/>
          <w:sz w:val="18"/>
        </w:rPr>
        <w:t>TenantProvider</w:t>
      </w:r>
      <w:r>
        <w:t xml:space="preserve">, </w:t>
      </w:r>
      <w:r>
        <w:rPr>
          <w:rFonts w:ascii="Courier New" w:hAnsi="Courier New"/>
          <w:sz w:val="18"/>
        </w:rPr>
        <w:t>CurrentUser</w:t>
      </w:r>
      <w:r>
        <w:t xml:space="preserve"> (leem </w:t>
      </w:r>
      <w:r>
        <w:rPr>
          <w:rFonts w:ascii="Courier New" w:hAnsi="Courier New"/>
          <w:sz w:val="18"/>
        </w:rPr>
        <w:t>HttpContext.Items</w:t>
      </w:r>
      <w:r>
        <w:t>).</w:t>
      </w:r>
    </w:p>
    <w:p>
      <w:pPr>
        <w:pStyle w:val="ListBullet"/>
      </w:pPr>
      <w:r>
        <w:rPr>
          <w:b/>
        </w:rPr>
        <w:t>`src/API/Epros.API/Middlewares`</w:t>
      </w:r>
      <w:r>
        <w:t xml:space="preserve"> — </w:t>
      </w:r>
      <w:r>
        <w:rPr>
          <w:rFonts w:ascii="Courier New" w:hAnsi="Courier New"/>
          <w:sz w:val="18"/>
        </w:rPr>
        <w:t>InquilinoSaaSMiddleware</w:t>
      </w:r>
      <w:r>
        <w:t xml:space="preserve"> (resolve tenant + gating StatusSaaS),</w:t>
      </w:r>
    </w:p>
    <w:p>
      <w:r>
        <w:t xml:space="preserve">  </w:t>
      </w:r>
      <w:r>
        <w:rPr>
          <w:rFonts w:ascii="Courier New" w:hAnsi="Courier New"/>
          <w:sz w:val="18"/>
        </w:rPr>
        <w:t>ModuloTenantMiddleware</w:t>
      </w:r>
      <w:r>
        <w:t>.</w:t>
      </w:r>
    </w:p>
    <w:p>
      <w:pPr>
        <w:pStyle w:val="ListBullet"/>
      </w:pPr>
      <w:r>
        <w:rPr>
          <w:b/>
        </w:rPr>
        <w:t>DbContexts dos módulos</w:t>
      </w:r>
      <w:r>
        <w:t xml:space="preserve"> — </w:t>
      </w:r>
      <w:r>
        <w:rPr>
          <w:rFonts w:ascii="Courier New" w:hAnsi="Courier New"/>
          <w:sz w:val="18"/>
        </w:rPr>
        <w:t>ContextAplicativo</w:t>
      </w:r>
      <w:r>
        <w:t xml:space="preserve"> (schema </w:t>
      </w:r>
      <w:r>
        <w:rPr>
          <w:rFonts w:ascii="Courier New" w:hAnsi="Courier New"/>
          <w:sz w:val="18"/>
        </w:rPr>
        <w:t>aplicativo</w:t>
      </w:r>
      <w:r>
        <w:t xml:space="preserve">), </w:t>
      </w:r>
      <w:r>
        <w:rPr>
          <w:rFonts w:ascii="Courier New" w:hAnsi="Courier New"/>
          <w:sz w:val="18"/>
        </w:rPr>
        <w:t>ContextGestaoClientes</w:t>
      </w:r>
      <w:r>
        <w:t xml:space="preserve"> (schema </w:t>
      </w:r>
      <w:r>
        <w:rPr>
          <w:rFonts w:ascii="Courier New" w:hAnsi="Courier New"/>
          <w:sz w:val="18"/>
        </w:rPr>
        <w:t>plataforma</w:t>
      </w:r>
      <w:r>
        <w:t>) e</w:t>
      </w:r>
    </w:p>
    <w:p>
      <w:r>
        <w:t xml:space="preserve">  os demais 13 herdam </w:t>
      </w:r>
      <w:r>
        <w:rPr>
          <w:rFonts w:ascii="Courier New" w:hAnsi="Courier New"/>
          <w:sz w:val="18"/>
        </w:rPr>
        <w:t>ContextBase</w:t>
      </w:r>
      <w:r>
        <w:t>.</w:t>
      </w:r>
    </w:p>
    <w:p>
      <w:pPr>
        <w:pStyle w:val="Heading2"/>
      </w:pPr>
      <w:r>
        <w:t>3. Entidades e campos (o que foi implantado)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/ Contrato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EntidadeSaaSBase</w:t>
            </w:r>
            <w:r>
              <w:t xml:space="preserve"> </w:t>
            </w:r>
            <w:r>
              <w:rPr>
                <w:i/>
              </w:rPr>
              <w:t>(abstrata)</w:t>
            </w:r>
          </w:p>
        </w:tc>
        <w:tc>
          <w:tcPr>
            <w:tcW w:type="dxa" w:w="2880"/>
          </w:tcPr>
          <w:p>
            <w:r>
              <w:t xml:space="preserve">Id, SyncId, </w:t>
            </w:r>
            <w:r>
              <w:rPr>
                <w:b/>
              </w:rPr>
              <w:t>TenantId</w:t>
            </w:r>
            <w:r>
              <w:t xml:space="preserve"> (setter privado), SyncVersion, CriadoEm, AlteradoEm?, DeletadoEm?, CriadoPor?, AlteradoPor?; </w:t>
            </w:r>
            <w:r>
              <w:rPr>
                <w:rFonts w:ascii="Courier New" w:hAnsi="Courier New"/>
                <w:sz w:val="18"/>
              </w:rPr>
              <w:t>MarcarAlterado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Deletar</w:t>
            </w:r>
            <w:r>
              <w:t>/</w:t>
            </w:r>
            <w:r>
              <w:rPr>
                <w:rFonts w:ascii="Courier New" w:hAnsi="Courier New"/>
                <w:sz w:val="18"/>
              </w:rPr>
              <w:t>EstaAtivo</w:t>
            </w:r>
          </w:p>
        </w:tc>
        <w:tc>
          <w:tcPr>
            <w:tcW w:type="dxa" w:w="2880"/>
          </w:tcPr>
          <w:p>
            <w:r>
              <w:t>Base tenantizada + auditável + soft-delete de toda entidade SaaS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IGlobalEntity</w:t>
            </w:r>
            <w:r>
              <w:t xml:space="preserve"> </w:t>
            </w:r>
            <w:r>
              <w:rPr>
                <w:i/>
              </w:rPr>
              <w:t>(marker)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Catálogo global: opt-out consciente do filtro de tenant (grava </w:t>
            </w:r>
            <w:r>
              <w:rPr>
                <w:rFonts w:ascii="Courier New" w:hAnsi="Courier New"/>
                <w:sz w:val="18"/>
              </w:rPr>
              <w:t>TenantId="system"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IHardDeletable</w:t>
            </w:r>
            <w:r>
              <w:t xml:space="preserve"> </w:t>
            </w:r>
            <w:r>
              <w:rPr>
                <w:i/>
              </w:rPr>
              <w:t>(marker)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Opt-out do soft-delete (delete físico — ex.: </w:t>
            </w:r>
            <w:r>
              <w:rPr>
                <w:rFonts w:ascii="Courier New" w:hAnsi="Courier New"/>
                <w:sz w:val="18"/>
              </w:rPr>
              <w:t>SessaoUsuario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ITenantProvider</w:t>
            </w:r>
            <w:r>
              <w:t xml:space="preserve"> </w:t>
            </w:r>
            <w:r>
              <w:rPr>
                <w:i/>
              </w:rPr>
              <w:t>(contrato)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GetTenantId()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EhTenantDemo()</w:t>
            </w:r>
          </w:p>
        </w:tc>
        <w:tc>
          <w:tcPr>
            <w:tcW w:type="dxa" w:w="2880"/>
          </w:tcPr>
          <w:p>
            <w:r>
              <w:t xml:space="preserve">Fonte do tenant corrente (fallback </w:t>
            </w:r>
            <w:r>
              <w:rPr>
                <w:rFonts w:ascii="Courier New" w:hAnsi="Courier New"/>
                <w:sz w:val="18"/>
              </w:rPr>
              <w:t>"system"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ICurrentUser</w:t>
            </w:r>
            <w:r>
              <w:t xml:space="preserve"> </w:t>
            </w:r>
            <w:r>
              <w:rPr>
                <w:i/>
              </w:rPr>
              <w:t>(contrato)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GetUserId/Name/Email</w:t>
            </w:r>
          </w:p>
        </w:tc>
        <w:tc>
          <w:tcPr>
            <w:tcW w:type="dxa" w:w="2880"/>
          </w:tcPr>
          <w:p>
            <w:r>
              <w:t xml:space="preserve">Usuário de auditoria (fallback </w:t>
            </w:r>
            <w:r>
              <w:rPr>
                <w:rFonts w:ascii="Courier New" w:hAnsi="Courier New"/>
                <w:sz w:val="18"/>
              </w:rPr>
              <w:t>"system"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ConfiguracaoGlobal</w:t>
            </w:r>
          </w:p>
        </w:tc>
        <w:tc>
          <w:tcPr>
            <w:tcW w:type="dxa" w:w="2880"/>
          </w:tcPr>
          <w:p>
            <w:r>
              <w:t>Chave, Valor, EhSegredo, TenantId</w:t>
            </w:r>
          </w:p>
        </w:tc>
        <w:tc>
          <w:tcPr>
            <w:tcW w:type="dxa" w:w="2880"/>
          </w:tcPr>
          <w:p>
            <w:r>
              <w:t>Setting por owner=tenant (cache L1/L2 + invalidação)</w:t>
            </w:r>
          </w:p>
        </w:tc>
      </w:tr>
    </w:tbl>
    <w:p/>
    <w:p>
      <w:pPr>
        <w:pStyle w:val="Heading2"/>
      </w:pPr>
      <w:r>
        <w:t>4. A lógica (regras implantadas — evidência `arquivo:linha`)</w:t>
      </w:r>
    </w:p>
    <w:p>
      <w:pPr>
        <w:pStyle w:val="ListNumber"/>
      </w:pPr>
      <w:r>
        <w:rPr>
          <w:b/>
        </w:rPr>
        <w:t>Filtro automático por reflexão (REG-004).</w:t>
      </w:r>
      <w:r>
        <w:t xml:space="preserve"> No </w:t>
      </w:r>
      <w:r>
        <w:rPr>
          <w:rFonts w:ascii="Courier New" w:hAnsi="Courier New"/>
          <w:sz w:val="18"/>
        </w:rPr>
        <w:t>OnModelCreating</w:t>
      </w:r>
      <w:r>
        <w:t xml:space="preserve">, </w:t>
      </w:r>
      <w:r>
        <w:rPr>
          <w:rFonts w:ascii="Courier New" w:hAnsi="Courier New"/>
          <w:sz w:val="18"/>
        </w:rPr>
        <w:t>ContextBase</w:t>
      </w:r>
      <w:r>
        <w:t xml:space="preserve"> aplica </w:t>
      </w:r>
      <w:r>
        <w:rPr>
          <w:rFonts w:ascii="Courier New" w:hAnsi="Courier New"/>
          <w:sz w:val="18"/>
        </w:rPr>
        <w:t>HasQueryFilter</w:t>
      </w:r>
      <w:r>
        <w:t xml:space="preserve"> a toda</w:t>
      </w:r>
    </w:p>
    <w:p>
      <w:r>
        <w:t xml:space="preserve">   </w:t>
      </w:r>
      <w:r>
        <w:rPr>
          <w:rFonts w:ascii="Courier New" w:hAnsi="Courier New"/>
          <w:sz w:val="18"/>
        </w:rPr>
        <w:t>EntidadeSaaSBase</w:t>
      </w:r>
      <w:r>
        <w:t xml:space="preserve"> (</w:t>
      </w:r>
      <w:r>
        <w:rPr>
          <w:rFonts w:ascii="Courier New" w:hAnsi="Courier New"/>
          <w:sz w:val="18"/>
        </w:rPr>
        <w:t>ContextBase.cs:39-47</w:t>
      </w:r>
      <w:r>
        <w:t xml:space="preserve">): global → </w:t>
      </w:r>
      <w:r>
        <w:rPr>
          <w:rFonts w:ascii="Courier New" w:hAnsi="Courier New"/>
          <w:sz w:val="18"/>
        </w:rPr>
        <w:t>DeletadoEm==null</w:t>
      </w:r>
      <w:r>
        <w:t>; tenantizada →</w:t>
      </w:r>
    </w:p>
    <w:p>
      <w:r>
        <w:t xml:space="preserve">   </w:t>
      </w:r>
      <w:r>
        <w:rPr>
          <w:rFonts w:ascii="Courier New" w:hAnsi="Courier New"/>
          <w:sz w:val="18"/>
        </w:rPr>
        <w:t>TenantId == _tenantProvider.GetTenantId() &amp;&amp; DeletadoEm==null</w:t>
      </w:r>
      <w:r>
        <w:t xml:space="preserve"> (</w:t>
      </w:r>
      <w:r>
        <w:rPr>
          <w:rFonts w:ascii="Courier New" w:hAnsi="Courier New"/>
          <w:sz w:val="18"/>
        </w:rPr>
        <w:t>:126-138</w:t>
      </w:r>
      <w:r>
        <w:t xml:space="preserve">). Índices automáticos </w:t>
      </w:r>
      <w:r>
        <w:rPr>
          <w:rFonts w:ascii="Courier New" w:hAnsi="Courier New"/>
          <w:sz w:val="18"/>
        </w:rPr>
        <w:t>sync_id</w:t>
      </w:r>
      <w:r>
        <w:t xml:space="preserve"> (único) e</w:t>
      </w:r>
    </w:p>
    <w:p>
      <w:r>
        <w:t xml:space="preserve">   </w:t>
      </w:r>
      <w:r>
        <w:rPr>
          <w:rFonts w:ascii="Courier New" w:hAnsi="Courier New"/>
          <w:sz w:val="18"/>
        </w:rPr>
        <w:t>tenant_id</w:t>
      </w:r>
      <w:r>
        <w:t xml:space="preserve"> (</w:t>
      </w:r>
      <w:r>
        <w:rPr>
          <w:rFonts w:ascii="Courier New" w:hAnsi="Courier New"/>
          <w:sz w:val="18"/>
        </w:rPr>
        <w:t>:108-122</w:t>
      </w:r>
      <w:r>
        <w:t>).</w:t>
      </w:r>
    </w:p>
    <w:p>
      <w:pPr>
        <w:pStyle w:val="ListNumber"/>
      </w:pPr>
      <w:r>
        <w:rPr>
          <w:b/>
        </w:rPr>
        <w:t>Atribuição automática de contexto + auditoria (REG-002/007/009/010).</w:t>
      </w:r>
      <w:r>
        <w:t xml:space="preserve"> </w:t>
      </w:r>
      <w:r>
        <w:rPr>
          <w:rFonts w:ascii="Courier New" w:hAnsi="Courier New"/>
          <w:sz w:val="18"/>
        </w:rPr>
        <w:t>ProcessarEntidadesSaaS</w:t>
      </w:r>
      <w:r>
        <w:t xml:space="preserve"> no </w:t>
      </w:r>
      <w:r>
        <w:rPr>
          <w:rFonts w:ascii="Courier New" w:hAnsi="Courier New"/>
          <w:sz w:val="18"/>
        </w:rPr>
        <w:t>SaveChanges</w:t>
      </w:r>
    </w:p>
    <w:p>
      <w:r>
        <w:t xml:space="preserve">   (</w:t>
      </w:r>
      <w:r>
        <w:rPr>
          <w:rFonts w:ascii="Courier New" w:hAnsi="Courier New"/>
          <w:sz w:val="18"/>
        </w:rPr>
        <w:t>ContextBase.cs:152-212</w:t>
      </w:r>
      <w:r>
        <w:t xml:space="preserve">): </w:t>
      </w:r>
      <w:r>
        <w:rPr>
          <w:rFonts w:ascii="Courier New" w:hAnsi="Courier New"/>
          <w:sz w:val="18"/>
        </w:rPr>
        <w:t>Added</w:t>
      </w:r>
      <w:r>
        <w:t xml:space="preserve"> → grava </w:t>
      </w:r>
      <w:r>
        <w:rPr>
          <w:rFonts w:ascii="Courier New" w:hAnsi="Courier New"/>
          <w:sz w:val="18"/>
        </w:rPr>
        <w:t>TenantId</w:t>
      </w:r>
      <w:r>
        <w:t xml:space="preserve"> (</w:t>
      </w:r>
      <w:r>
        <w:rPr>
          <w:rFonts w:ascii="Courier New" w:hAnsi="Courier New"/>
          <w:sz w:val="18"/>
        </w:rPr>
        <w:t>"system"</w:t>
      </w:r>
      <w:r>
        <w:t xml:space="preserve"> se </w:t>
      </w:r>
      <w:r>
        <w:rPr>
          <w:rFonts w:ascii="Courier New" w:hAnsi="Courier New"/>
          <w:sz w:val="18"/>
        </w:rPr>
        <w:t>IGlobalEntity</w:t>
      </w:r>
      <w:r>
        <w:t>; tenant corrente senão) e</w:t>
      </w:r>
    </w:p>
    <w:p>
      <w:r>
        <w:t xml:space="preserve">   </w:t>
      </w:r>
      <w:r>
        <w:rPr>
          <w:rFonts w:ascii="Courier New" w:hAnsi="Courier New"/>
          <w:sz w:val="18"/>
        </w:rPr>
        <w:t>CriadoPor</w:t>
      </w:r>
      <w:r>
        <w:t xml:space="preserve">; </w:t>
      </w:r>
      <w:r>
        <w:rPr>
          <w:rFonts w:ascii="Courier New" w:hAnsi="Courier New"/>
          <w:sz w:val="18"/>
        </w:rPr>
        <w:t>Modified</w:t>
      </w:r>
      <w:r>
        <w:t xml:space="preserve"> → </w:t>
      </w:r>
      <w:r>
        <w:rPr>
          <w:rFonts w:ascii="Courier New" w:hAnsi="Courier New"/>
          <w:sz w:val="18"/>
        </w:rPr>
        <w:t>MarcarAlterado(userId)</w:t>
      </w:r>
      <w:r>
        <w:t xml:space="preserve">; </w:t>
      </w:r>
      <w:r>
        <w:rPr>
          <w:rFonts w:ascii="Courier New" w:hAnsi="Courier New"/>
          <w:sz w:val="18"/>
        </w:rPr>
        <w:t>Deleted</w:t>
      </w:r>
      <w:r>
        <w:t xml:space="preserve"> → converte em </w:t>
      </w:r>
      <w:r>
        <w:rPr>
          <w:b/>
        </w:rPr>
        <w:t>soft-delete</w:t>
      </w:r>
      <w:r>
        <w:t xml:space="preserve"> (</w:t>
      </w:r>
      <w:r>
        <w:rPr>
          <w:rFonts w:ascii="Courier New" w:hAnsi="Courier New"/>
          <w:sz w:val="18"/>
        </w:rPr>
        <w:t>:201-209</w:t>
      </w:r>
      <w:r>
        <w:t>), exceto</w:t>
      </w:r>
    </w:p>
    <w:p>
      <w:r>
        <w:t xml:space="preserve">   </w:t>
      </w:r>
      <w:r>
        <w:rPr>
          <w:rFonts w:ascii="Courier New" w:hAnsi="Courier New"/>
          <w:sz w:val="18"/>
        </w:rPr>
        <w:t>IHardDeletable</w:t>
      </w:r>
      <w:r>
        <w:t xml:space="preserve">. </w:t>
      </w:r>
      <w:r>
        <w:rPr>
          <w:rFonts w:ascii="Courier New" w:hAnsi="Courier New"/>
          <w:sz w:val="18"/>
        </w:rPr>
        <w:t>TenantId</w:t>
      </w:r>
      <w:r>
        <w:t xml:space="preserve"> tem setter privado → </w:t>
      </w:r>
      <w:r>
        <w:rPr>
          <w:b/>
        </w:rPr>
        <w:t>fronteira imutável em update</w:t>
      </w:r>
      <w:r>
        <w:t xml:space="preserve"> (REG-003).</w:t>
      </w:r>
    </w:p>
    <w:p>
      <w:pPr>
        <w:pStyle w:val="ListNumber"/>
      </w:pPr>
      <w:r>
        <w:rPr>
          <w:b/>
        </w:rPr>
        <w:t>Modo demo somente-leitura.</w:t>
      </w:r>
      <w:r>
        <w:t xml:space="preserve"> Se </w:t>
      </w:r>
      <w:r>
        <w:rPr>
          <w:rFonts w:ascii="Courier New" w:hAnsi="Courier New"/>
          <w:sz w:val="18"/>
        </w:rPr>
        <w:t>EhTenantDemo()</w:t>
      </w:r>
      <w:r>
        <w:t xml:space="preserve">, qualquer escrita lança </w:t>
      </w:r>
      <w:r>
        <w:rPr>
          <w:rFonts w:ascii="Courier New" w:hAnsi="Courier New"/>
          <w:sz w:val="18"/>
        </w:rPr>
        <w:t>OperacaoBloqueadaModoDemoException</w:t>
      </w:r>
      <w:r>
        <w:t>,</w:t>
      </w:r>
    </w:p>
    <w:p>
      <w:r>
        <w:t xml:space="preserve">   exceto </w:t>
      </w:r>
      <w:r>
        <w:rPr>
          <w:rFonts w:ascii="Courier New" w:hAnsi="Courier New"/>
          <w:sz w:val="18"/>
        </w:rPr>
        <w:t>SessaoUsuario</w:t>
      </w:r>
      <w:r>
        <w:t>/</w:t>
      </w:r>
      <w:r>
        <w:rPr>
          <w:rFonts w:ascii="Courier New" w:hAnsi="Courier New"/>
          <w:sz w:val="18"/>
        </w:rPr>
        <w:t>SessaoImpersonacao</w:t>
      </w:r>
      <w:r>
        <w:t>/</w:t>
      </w:r>
      <w:r>
        <w:rPr>
          <w:rFonts w:ascii="Courier New" w:hAnsi="Courier New"/>
          <w:sz w:val="18"/>
        </w:rPr>
        <w:t>HistoricoLogin</w:t>
      </w:r>
      <w:r>
        <w:t xml:space="preserve"> (</w:t>
      </w:r>
      <w:r>
        <w:rPr>
          <w:rFonts w:ascii="Courier New" w:hAnsi="Courier New"/>
          <w:sz w:val="18"/>
        </w:rPr>
        <w:t>ContextBase.cs:157-173</w:t>
      </w:r>
      <w:r>
        <w:t>).</w:t>
      </w:r>
    </w:p>
    <w:p>
      <w:pPr>
        <w:pStyle w:val="ListNumber"/>
      </w:pPr>
      <w:r>
        <w:rPr>
          <w:b/>
        </w:rPr>
        <w:t>RLS gerada por convenção (REG-004/024).</w:t>
      </w:r>
      <w:r>
        <w:t xml:space="preserve"> </w:t>
      </w:r>
      <w:r>
        <w:rPr>
          <w:rFonts w:ascii="Courier New" w:hAnsi="Courier New"/>
          <w:sz w:val="18"/>
        </w:rPr>
        <w:t>EprosMigrationsSqlGenerator.cs:20-64</w:t>
      </w:r>
      <w:r>
        <w:t>: para toda tabela com coluna</w:t>
      </w:r>
    </w:p>
    <w:p>
      <w:r>
        <w:t xml:space="preserve">   </w:t>
      </w:r>
      <w:r>
        <w:rPr>
          <w:rFonts w:ascii="Courier New" w:hAnsi="Courier New"/>
          <w:sz w:val="18"/>
        </w:rPr>
        <w:t>tenant_id</w:t>
      </w:r>
      <w:r>
        <w:t xml:space="preserve"> emite </w:t>
      </w:r>
      <w:r>
        <w:rPr>
          <w:rFonts w:ascii="Courier New" w:hAnsi="Courier New"/>
          <w:sz w:val="18"/>
        </w:rPr>
        <w:t>ENABLE</w:t>
      </w:r>
      <w:r>
        <w:t>+</w:t>
      </w:r>
      <w:r>
        <w:rPr>
          <w:rFonts w:ascii="Courier New" w:hAnsi="Courier New"/>
          <w:sz w:val="18"/>
        </w:rPr>
        <w:t>FORCE ROW LEVEL SECURITY</w:t>
      </w:r>
      <w:r>
        <w:t xml:space="preserve"> e `CREATE POLICY tenant_isolation_policy USING (...)</w:t>
      </w:r>
    </w:p>
    <w:p>
      <w:r>
        <w:t xml:space="preserve">   </w:t>
      </w:r>
      <w:r>
        <w:rPr>
          <w:b/>
        </w:rPr>
        <w:t>WITH CHECK (...)</w:t>
      </w:r>
      <w:r>
        <w:t xml:space="preserve"> </w:t>
      </w:r>
      <w:r>
        <w:rPr>
          <w:rFonts w:ascii="Courier New" w:hAnsi="Courier New"/>
          <w:sz w:val="18"/>
        </w:rPr>
        <w:t xml:space="preserve"> — o </w:t>
      </w:r>
      <w:r>
        <w:t>WITH CHECK</w:t>
      </w:r>
      <w:r>
        <w:rPr>
          <w:rFonts w:ascii="Courier New" w:hAnsi="Courier New"/>
          <w:sz w:val="18"/>
        </w:rPr>
        <w:t xml:space="preserve"> **explícito** protege INSERT/UPDATE (não confia no reuso implícito do </w:t>
      </w:r>
      <w:r>
        <w:t>USING`).</w:t>
      </w:r>
    </w:p>
    <w:p>
      <w:r>
        <w:t xml:space="preserve">   Catálogos globais (paises, subdivisoes, municipios, moedas, fusos_horarios, códigos postais) são </w:t>
      </w:r>
      <w:r>
        <w:rPr>
          <w:b/>
        </w:rPr>
        <w:t>excluídos</w:t>
      </w:r>
    </w:p>
    <w:p>
      <w:r>
        <w:t xml:space="preserve">   (</w:t>
      </w:r>
      <w:r>
        <w:rPr>
          <w:rFonts w:ascii="Courier New" w:hAnsi="Courier New"/>
          <w:sz w:val="18"/>
        </w:rPr>
        <w:t>:37-46</w:t>
      </w:r>
      <w:r>
        <w:t>).</w:t>
      </w:r>
    </w:p>
    <w:p>
      <w:pPr>
        <w:pStyle w:val="ListNumber"/>
      </w:pPr>
      <w:r>
        <w:rPr>
          <w:b/>
        </w:rPr>
        <w:t>Propagação para a sessão do banco (defense-in-depth).</w:t>
      </w:r>
      <w:r>
        <w:t xml:space="preserve"> </w:t>
      </w:r>
      <w:r>
        <w:rPr>
          <w:rFonts w:ascii="Courier New" w:hAnsi="Courier New"/>
          <w:sz w:val="18"/>
        </w:rPr>
        <w:t>TenantRlsInterceptor</w:t>
      </w:r>
      <w:r>
        <w:t xml:space="preserve"> executa antes de cada</w:t>
      </w:r>
    </w:p>
    <w:p>
      <w:r>
        <w:t xml:space="preserve">   Reader/Scalar/NonQuery </w:t>
      </w:r>
      <w:r>
        <w:rPr>
          <w:rFonts w:ascii="Courier New" w:hAnsi="Courier New"/>
          <w:sz w:val="18"/>
        </w:rPr>
        <w:t>SET app.current_tenant_id = '&lt;tenant&gt;'</w:t>
      </w:r>
      <w:r>
        <w:t xml:space="preserve"> (</w:t>
      </w:r>
      <w:r>
        <w:rPr>
          <w:rFonts w:ascii="Courier New" w:hAnsi="Courier New"/>
          <w:sz w:val="18"/>
        </w:rPr>
        <w:t>:61-125</w:t>
      </w:r>
      <w:r>
        <w:t xml:space="preserve">); **usa </w:t>
      </w:r>
      <w:r>
        <w:rPr>
          <w:rFonts w:ascii="Courier New" w:hAnsi="Courier New"/>
          <w:sz w:val="18"/>
        </w:rPr>
        <w:t>SET LOCAL</w:t>
      </w:r>
      <w:r>
        <w:t xml:space="preserve"> quando há transação</w:t>
      </w:r>
    </w:p>
    <w:p>
      <w:r>
        <w:t xml:space="preserve">   ambiente** (escopo transacional, evita vazamento entre unidades de trabalho numa conexão poolada — </w:t>
      </w:r>
      <w:r>
        <w:rPr>
          <w:rFonts w:ascii="Courier New" w:hAnsi="Courier New"/>
          <w:sz w:val="18"/>
        </w:rPr>
        <w:t>:121-125</w:t>
      </w:r>
      <w:r>
        <w:t>).</w:t>
      </w:r>
    </w:p>
    <w:p>
      <w:r>
        <w:t xml:space="preserve">   Sanitiza aspas (</w:t>
      </w:r>
      <w:r>
        <w:rPr>
          <w:rFonts w:ascii="Courier New" w:hAnsi="Courier New"/>
          <w:sz w:val="18"/>
        </w:rPr>
        <w:t>:127-130</w:t>
      </w:r>
      <w:r>
        <w:t xml:space="preserve">). Default seguro: </w:t>
      </w:r>
      <w:r>
        <w:rPr>
          <w:rFonts w:ascii="Courier New" w:hAnsi="Courier New"/>
          <w:sz w:val="18"/>
        </w:rPr>
        <w:t>current_setting(..., true)</w:t>
      </w:r>
      <w:r>
        <w:t xml:space="preserve"> nulo ⇒ zero linhas.</w:t>
      </w:r>
    </w:p>
    <w:p>
      <w:pPr>
        <w:pStyle w:val="ListNumber"/>
      </w:pPr>
      <w:r>
        <w:rPr>
          <w:b/>
        </w:rPr>
        <w:t>Bypass controlado cross-tenant no auth (REG-012).</w:t>
      </w:r>
      <w:r>
        <w:t xml:space="preserve"> </w:t>
      </w:r>
      <w:r>
        <w:rPr>
          <w:rFonts w:ascii="Courier New" w:hAnsi="Courier New"/>
          <w:sz w:val="18"/>
        </w:rPr>
        <w:t>AuthRlsBypass</w:t>
      </w:r>
      <w:r>
        <w:t xml:space="preserve"> faz `set_config('app.allow_cross_tenant_auth',</w:t>
      </w:r>
    </w:p>
    <w:p>
      <w:r>
        <w:t xml:space="preserve">   'true', true)</w:t>
      </w:r>
      <w:r>
        <w:rPr>
          <w:rFonts w:ascii="Courier New" w:hAnsi="Courier New"/>
          <w:sz w:val="18"/>
        </w:rPr>
        <w:t xml:space="preserve"> **transaction-local** (</w:t>
      </w:r>
      <w:r>
        <w:t>:15-24</w:t>
      </w:r>
      <w:r>
        <w:rPr>
          <w:rFonts w:ascii="Courier New" w:hAnsi="Courier New"/>
          <w:sz w:val="18"/>
        </w:rPr>
        <w:t xml:space="preserve">) + policies </w:t>
      </w:r>
      <w:r>
        <w:t>auth_cross_tenant_select FOR SELECT` (migration</w:t>
      </w:r>
    </w:p>
    <w:p>
      <w:r>
        <w:t xml:space="preserve">   </w:t>
      </w:r>
      <w:r>
        <w:rPr>
          <w:rFonts w:ascii="Courier New" w:hAnsi="Courier New"/>
          <w:sz w:val="18"/>
        </w:rPr>
        <w:t>AddAuthCrossTenantRlsPolicies</w:t>
      </w:r>
      <w:r>
        <w:t xml:space="preserve">) — só </w:t>
      </w:r>
      <w:r>
        <w:rPr>
          <w:b/>
        </w:rPr>
        <w:t>leitura</w:t>
      </w:r>
      <w:r>
        <w:t xml:space="preserve"> cross-tenant, escopada aos endpoints de login/registro/reset/social.</w:t>
      </w:r>
    </w:p>
    <w:p>
      <w:pPr>
        <w:pStyle w:val="ListNumber"/>
      </w:pPr>
      <w:r>
        <w:rPr>
          <w:b/>
        </w:rPr>
        <w:t>Barreira de boot contra entidade órfã (REG-001) — FECHADO.</w:t>
      </w:r>
      <w:r>
        <w:t xml:space="preserve"> </w:t>
      </w:r>
      <w:r>
        <w:rPr>
          <w:rFonts w:ascii="Courier New" w:hAnsi="Courier New"/>
          <w:sz w:val="18"/>
        </w:rPr>
        <w:t>GuardaEntidadeOrfa.ValidarModelos</w:t>
      </w:r>
      <w:r>
        <w:t xml:space="preserve"> faz o **startup</w:t>
      </w:r>
    </w:p>
    <w:p>
      <w:r>
        <w:t xml:space="preserve">   FALHAR** se uma entidade persistente não se enquadrar em: herda </w:t>
      </w:r>
      <w:r>
        <w:rPr>
          <w:rFonts w:ascii="Courier New" w:hAnsi="Courier New"/>
          <w:sz w:val="18"/>
        </w:rPr>
        <w:t>EntidadeSaaSBase</w:t>
      </w:r>
      <w:r>
        <w:t xml:space="preserve">, implementa </w:t>
      </w:r>
      <w:r>
        <w:rPr>
          <w:rFonts w:ascii="Courier New" w:hAnsi="Courier New"/>
          <w:sz w:val="18"/>
        </w:rPr>
        <w:t>IGlobalEntity</w:t>
      </w:r>
      <w:r>
        <w:t>, tem</w:t>
      </w:r>
    </w:p>
    <w:p>
      <w:r>
        <w:t xml:space="preserve">   coluna </w:t>
      </w:r>
      <w:r>
        <w:rPr>
          <w:rFonts w:ascii="Courier New" w:hAnsi="Courier New"/>
          <w:sz w:val="18"/>
        </w:rPr>
        <w:t>tenant_id</w:t>
      </w:r>
      <w:r>
        <w:t>, ou é read-model de tabela já tenantizada (</w:t>
      </w:r>
      <w:r>
        <w:rPr>
          <w:rFonts w:ascii="Courier New" w:hAnsi="Courier New"/>
          <w:sz w:val="18"/>
        </w:rPr>
        <w:t>GuardaEntidadeOrfa.cs:32-98</w:t>
      </w:r>
      <w:r>
        <w:t>). Vira barreira, não</w:t>
      </w:r>
    </w:p>
    <w:p>
      <w:r>
        <w:t xml:space="preserve">   convenção (era uma LACUNA P0 na verificação).</w:t>
      </w:r>
    </w:p>
    <w:p>
      <w:pPr>
        <w:pStyle w:val="ListNumber"/>
      </w:pPr>
      <w:r>
        <w:rPr>
          <w:b/>
        </w:rPr>
        <w:t>Gating por StatusSaaS no pipeline (REG-021) — FECHADO.</w:t>
      </w:r>
      <w:r>
        <w:t xml:space="preserve"> </w:t>
      </w:r>
      <w:r>
        <w:rPr>
          <w:rFonts w:ascii="Courier New" w:hAnsi="Courier New"/>
          <w:sz w:val="18"/>
        </w:rPr>
        <w:t>InquilinoSaaSMiddleware.cs:117-245</w:t>
      </w:r>
      <w:r>
        <w:t>: resolve o</w:t>
      </w:r>
    </w:p>
    <w:p>
      <w:r>
        <w:t xml:space="preserve">   </w:t>
      </w:r>
      <w:r>
        <w:rPr>
          <w:rFonts w:ascii="Courier New" w:hAnsi="Courier New"/>
          <w:sz w:val="18"/>
        </w:rPr>
        <w:t>StatusSaaS</w:t>
      </w:r>
      <w:r>
        <w:t xml:space="preserve"> do </w:t>
      </w:r>
      <w:r>
        <w:rPr>
          <w:rFonts w:ascii="Courier New" w:hAnsi="Courier New"/>
          <w:sz w:val="18"/>
        </w:rPr>
        <w:t>Cliente</w:t>
      </w:r>
      <w:r>
        <w:t xml:space="preserve"> (cache 60s) e barra a request — </w:t>
      </w:r>
      <w:r>
        <w:rPr>
          <w:rFonts w:ascii="Courier New" w:hAnsi="Courier New"/>
          <w:sz w:val="18"/>
        </w:rPr>
        <w:t>Ativo</w:t>
      </w:r>
      <w:r>
        <w:t>/</w:t>
      </w:r>
      <w:r>
        <w:rPr>
          <w:rFonts w:ascii="Courier New" w:hAnsi="Courier New"/>
          <w:sz w:val="18"/>
        </w:rPr>
        <w:t>TrialGratuito</w:t>
      </w:r>
      <w:r>
        <w:t>/</w:t>
      </w:r>
      <w:r>
        <w:rPr>
          <w:rFonts w:ascii="Courier New" w:hAnsi="Courier New"/>
          <w:sz w:val="18"/>
        </w:rPr>
        <w:t>AguardandoPagamento</w:t>
      </w:r>
      <w:r>
        <w:t xml:space="preserve"> operam;</w:t>
      </w:r>
    </w:p>
    <w:p>
      <w:r>
        <w:t xml:space="preserve">   </w:t>
      </w:r>
      <w:r>
        <w:rPr>
          <w:rFonts w:ascii="Courier New" w:hAnsi="Courier New"/>
          <w:sz w:val="18"/>
        </w:rPr>
        <w:t>SemAssinatura</w:t>
      </w:r>
      <w:r>
        <w:t xml:space="preserve"> → só onboarding/auth (403); </w:t>
      </w:r>
      <w:r>
        <w:rPr>
          <w:rFonts w:ascii="Courier New" w:hAnsi="Courier New"/>
          <w:sz w:val="18"/>
        </w:rPr>
        <w:t>Cancelado</w:t>
      </w:r>
      <w:r>
        <w:t>/</w:t>
      </w:r>
      <w:r>
        <w:rPr>
          <w:rFonts w:ascii="Courier New" w:hAnsi="Courier New"/>
          <w:sz w:val="18"/>
        </w:rPr>
        <w:t>Falha</w:t>
      </w:r>
      <w:r>
        <w:t xml:space="preserve"> → bloqueio, com </w:t>
      </w:r>
      <w:r>
        <w:rPr>
          <w:b/>
        </w:rPr>
        <w:t>somente-leitura por 30 dias</w:t>
      </w:r>
      <w:r>
        <w:t xml:space="preserve"> para</w:t>
      </w:r>
    </w:p>
    <w:p>
      <w:r>
        <w:t xml:space="preserve">   exportar dados/faturas, depois bloqueio total. Rotas de auth/regularização sempre liberadas.</w:t>
      </w:r>
    </w:p>
    <w:p>
      <w:pPr>
        <w:pStyle w:val="ListNumber"/>
      </w:pPr>
      <w:r>
        <w:rPr>
          <w:b/>
        </w:rPr>
        <w:t>Resolução do tenant no HTTP.</w:t>
      </w:r>
      <w:r>
        <w:t xml:space="preserve"> </w:t>
      </w:r>
      <w:r>
        <w:rPr>
          <w:rFonts w:ascii="Courier New" w:hAnsi="Courier New"/>
          <w:sz w:val="18"/>
        </w:rPr>
        <w:t>InquilinoSaaSMiddleware.cs:33-73</w:t>
      </w:r>
      <w:r>
        <w:t xml:space="preserve"> lê a claim </w:t>
      </w:r>
      <w:r>
        <w:rPr>
          <w:rFonts w:ascii="Courier New" w:hAnsi="Courier New"/>
          <w:sz w:val="18"/>
        </w:rPr>
        <w:t>tenantId</w:t>
      </w:r>
      <w:r>
        <w:t xml:space="preserve"> do token; header</w:t>
      </w:r>
    </w:p>
    <w:p>
      <w:r>
        <w:t xml:space="preserve">   </w:t>
      </w:r>
      <w:r>
        <w:rPr>
          <w:rFonts w:ascii="Courier New" w:hAnsi="Courier New"/>
          <w:sz w:val="18"/>
        </w:rPr>
        <w:t>X-Tenant-Id</w:t>
      </w:r>
      <w:r>
        <w:t xml:space="preserve"> é conveniência </w:t>
      </w:r>
      <w:r>
        <w:rPr>
          <w:b/>
        </w:rPr>
        <w:t>exclusiva de dev</w:t>
      </w:r>
      <w:r>
        <w:t>; em produção, ausência de tenant em rota não-</w:t>
      </w:r>
      <w:r>
        <w:rPr>
          <w:rFonts w:ascii="Courier New" w:hAnsi="Courier New"/>
          <w:sz w:val="18"/>
        </w:rPr>
        <w:t>[AllowAnonymous]</w:t>
      </w:r>
      <w:r>
        <w:t xml:space="preserve"> →</w:t>
      </w:r>
    </w:p>
    <w:p>
      <w:pPr>
        <w:pStyle w:val="ListNumber"/>
        <w:ind w:left="720"/>
      </w:pPr>
      <w:r>
        <w:t xml:space="preserve">Grava </w:t>
      </w:r>
      <w:r>
        <w:rPr>
          <w:rFonts w:ascii="Courier New" w:hAnsi="Courier New"/>
          <w:sz w:val="18"/>
        </w:rPr>
        <w:t>HttpContext.Items["TenantId"]</w:t>
      </w:r>
      <w:r>
        <w:t>/</w:t>
      </w:r>
      <w:r>
        <w:rPr>
          <w:rFonts w:ascii="Courier New" w:hAnsi="Courier New"/>
          <w:sz w:val="18"/>
        </w:rPr>
        <w:t>["IsDemo"]</w:t>
      </w:r>
      <w:r>
        <w:t xml:space="preserve">, lidos pelo </w:t>
      </w:r>
      <w:r>
        <w:rPr>
          <w:rFonts w:ascii="Courier New" w:hAnsi="Courier New"/>
          <w:sz w:val="18"/>
        </w:rPr>
        <w:t>TenantProvider</w:t>
      </w:r>
      <w:r>
        <w:t xml:space="preserve"> (fallback </w:t>
      </w:r>
      <w:r>
        <w:rPr>
          <w:rFonts w:ascii="Courier New" w:hAnsi="Courier New"/>
          <w:sz w:val="18"/>
        </w:rPr>
        <w:t>"system"</w:t>
      </w:r>
      <w:r>
        <w:t>).</w:t>
      </w:r>
    </w:p>
    <w:p>
      <w:pPr>
        <w:pStyle w:val="ListNumber"/>
      </w:pPr>
      <w:r>
        <w:rPr>
          <w:b/>
        </w:rPr>
        <w:t>Plano/Cupom híbridos.</w:t>
      </w:r>
      <w:r>
        <w:t xml:space="preserve"> </w:t>
      </w:r>
      <w:r>
        <w:rPr>
          <w:rFonts w:ascii="Courier New" w:hAnsi="Courier New"/>
          <w:sz w:val="18"/>
        </w:rPr>
        <w:t>ContextGestaoClientes</w:t>
      </w:r>
      <w:r>
        <w:t xml:space="preserve"> sobrepõe o filtro do </w:t>
      </w:r>
      <w:r>
        <w:rPr>
          <w:rFonts w:ascii="Courier New" w:hAnsi="Courier New"/>
          <w:sz w:val="18"/>
        </w:rPr>
        <w:t>Plano</w:t>
      </w:r>
      <w:r>
        <w:t xml:space="preserve"> (</w:t>
      </w:r>
      <w:r>
        <w:rPr>
          <w:rFonts w:ascii="Courier New" w:hAnsi="Courier New"/>
          <w:sz w:val="18"/>
        </w:rPr>
        <w:t>:1244</w:t>
      </w:r>
      <w:r>
        <w:t xml:space="preserve">) e do </w:t>
      </w:r>
      <w:r>
        <w:rPr>
          <w:rFonts w:ascii="Courier New" w:hAnsi="Courier New"/>
          <w:sz w:val="18"/>
        </w:rPr>
        <w:t>Cupom</w:t>
      </w:r>
      <w:r>
        <w:t xml:space="preserve"> (</w:t>
      </w:r>
      <w:r>
        <w:rPr>
          <w:rFonts w:ascii="Courier New" w:hAnsi="Courier New"/>
          <w:sz w:val="18"/>
        </w:rPr>
        <w:t>:1253</w:t>
      </w:r>
      <w:r>
        <w:t>):</w:t>
      </w:r>
    </w:p>
    <w:p>
      <w:r>
        <w:t xml:space="preserve">    </w:t>
      </w:r>
      <w:r>
        <w:rPr>
          <w:rFonts w:ascii="Courier New" w:hAnsi="Courier New"/>
          <w:sz w:val="18"/>
        </w:rPr>
        <w:t>TenantId == tenant_corrente OR TenantId == "system"</w:t>
      </w:r>
      <w:r>
        <w:t xml:space="preserve"> — catálogo global do Siser visível a todos, custom privado do</w:t>
      </w:r>
    </w:p>
    <w:p>
      <w:r>
        <w:t xml:space="preserve">    tenant.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 — FKs/eventos/dependências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t xml:space="preserve">Fornece o tenant corrente (claim → </w:t>
            </w:r>
            <w:r>
              <w:rPr>
                <w:rFonts w:ascii="Courier New" w:hAnsi="Courier New"/>
                <w:sz w:val="18"/>
              </w:rPr>
              <w:t>HttpContext.Items</w:t>
            </w:r>
            <w:r>
              <w:t xml:space="preserve">) e o usuário de auditoria que este submódulo consome; auth usa </w:t>
            </w:r>
            <w:r>
              <w:rPr>
                <w:rFonts w:ascii="Courier New" w:hAnsi="Courier New"/>
                <w:sz w:val="18"/>
              </w:rPr>
              <w:t>AuthRlsBypass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Todos os 15 módulos do ERP</w:t>
            </w:r>
          </w:p>
        </w:tc>
        <w:tc>
          <w:tcPr>
            <w:tcW w:type="dxa" w:w="4320"/>
          </w:tcPr>
          <w:p>
            <w:r>
              <w:t xml:space="preserve">Herdam </w:t>
            </w:r>
            <w:r>
              <w:rPr>
                <w:rFonts w:ascii="Courier New" w:hAnsi="Courier New"/>
                <w:sz w:val="18"/>
              </w:rPr>
              <w:t>ContextBase</w:t>
            </w:r>
            <w:r>
              <w:t>/</w:t>
            </w:r>
            <w:r>
              <w:rPr>
                <w:rFonts w:ascii="Courier New" w:hAnsi="Courier New"/>
                <w:sz w:val="18"/>
              </w:rPr>
              <w:t>EntidadeSaaSBase</w:t>
            </w:r>
            <w:r>
              <w:t>; ganham filtro + RLS + auditoria + soft-delete automaticamente.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 / LIMITES_DE_PLANO (1.06)</w:t>
            </w:r>
          </w:p>
        </w:tc>
        <w:tc>
          <w:tcPr>
            <w:tcW w:type="dxa" w:w="4320"/>
          </w:tcPr>
          <w:p>
            <w:r>
              <w:t xml:space="preserve">O </w:t>
            </w:r>
            <w:r>
              <w:rPr>
                <w:rFonts w:ascii="Courier New" w:hAnsi="Courier New"/>
                <w:sz w:val="18"/>
              </w:rPr>
              <w:t>StatusSaaS</w:t>
            </w:r>
            <w:r>
              <w:t xml:space="preserve">/cotas do </w:t>
            </w:r>
            <w:r>
              <w:rPr>
                <w:rFonts w:ascii="Courier New" w:hAnsi="Courier New"/>
                <w:sz w:val="18"/>
              </w:rPr>
              <w:t>Cliente</w:t>
            </w:r>
            <w:r>
              <w:t xml:space="preserve"> alimentam o gating do middleware (REG-021) e o plano híbrido.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CATALOGOS_GLOBAIS_SAAS (1.02)</w:t>
            </w:r>
          </w:p>
        </w:tc>
        <w:tc>
          <w:tcPr>
            <w:tcW w:type="dxa" w:w="4320"/>
          </w:tcPr>
          <w:p>
            <w:r>
              <w:t xml:space="preserve">Catálogos </w:t>
            </w:r>
            <w:r>
              <w:rPr>
                <w:rFonts w:ascii="Courier New" w:hAnsi="Courier New"/>
                <w:sz w:val="18"/>
              </w:rPr>
              <w:t>IGlobalEntity</w:t>
            </w:r>
            <w:r>
              <w:t xml:space="preserve"> (paises/moedas/…) são a lista de exceções sem RLS.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CONFIGURAÇÃO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ConfiguracaoGlobal</w:t>
            </w:r>
            <w:r>
              <w:t xml:space="preserve"> (owner=tenant) + cache L1/L2 com invalidação (</w:t>
            </w:r>
            <w:r>
              <w:rPr>
                <w:rFonts w:ascii="Courier New" w:hAnsi="Courier New"/>
                <w:sz w:val="18"/>
              </w:rPr>
              <w:t>ConfiguracaoGlobalCache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Jobs/Outbox</w:t>
            </w:r>
          </w:p>
        </w:tc>
        <w:tc>
          <w:tcPr>
            <w:tcW w:type="dxa" w:w="4320"/>
          </w:tcPr>
          <w:p>
            <w:r>
              <w:t xml:space="preserve">Jobs tenant-aware setam </w:t>
            </w:r>
            <w:r>
              <w:rPr>
                <w:rFonts w:ascii="Courier New" w:hAnsi="Courier New"/>
                <w:sz w:val="18"/>
              </w:rPr>
              <w:t>Items["TenantId"]</w:t>
            </w:r>
            <w:r>
              <w:t xml:space="preserve"> por mensagem antes de publicar (padrão replicado nos outbox por módulo).</w:t>
            </w:r>
          </w:p>
        </w:tc>
      </w:tr>
    </w:tbl>
    <w:p/>
    <w:p>
      <w:pPr>
        <w:pStyle w:val="Heading2"/>
      </w:pPr>
      <w:r>
        <w:t>6. O que NÃO está pronto (ver MC + tracker)</w:t>
      </w:r>
    </w:p>
    <w:p>
      <w:pPr>
        <w:pStyle w:val="ListBullet"/>
      </w:pPr>
      <w:r>
        <w:rPr>
          <w:b/>
        </w:rPr>
        <w:t>Lock otimista (REG-017):</w:t>
      </w:r>
      <w:r>
        <w:t xml:space="preserve"> </w:t>
      </w:r>
      <w:r>
        <w:rPr>
          <w:rFonts w:ascii="Courier New" w:hAnsi="Courier New"/>
          <w:sz w:val="18"/>
        </w:rPr>
        <w:t>SyncVersion</w:t>
      </w:r>
      <w:r>
        <w:t xml:space="preserve"> incrementa em </w:t>
      </w:r>
      <w:r>
        <w:rPr>
          <w:rFonts w:ascii="Courier New" w:hAnsi="Courier New"/>
          <w:sz w:val="18"/>
        </w:rPr>
        <w:t>MarcarAlterado</w:t>
      </w:r>
      <w:r>
        <w:t xml:space="preserve"> mas **não está mapeado como</w:t>
      </w:r>
    </w:p>
    <w:p>
      <w:r>
        <w:t xml:space="preserve">  </w:t>
      </w:r>
      <w:r>
        <w:rPr>
          <w:rFonts w:ascii="Courier New" w:hAnsi="Courier New"/>
          <w:sz w:val="18"/>
        </w:rPr>
        <w:t>IsConcurrencyToken</w:t>
      </w:r>
      <w:r>
        <w:t>/</w:t>
      </w:r>
      <w:r>
        <w:rPr>
          <w:rFonts w:ascii="Courier New" w:hAnsi="Courier New"/>
          <w:sz w:val="18"/>
        </w:rPr>
        <w:t>xmin</w:t>
      </w:r>
      <w:r>
        <w:t>** — sobrescrita concorrente silenciosa possível. MC: P1 (definir domínios com lock).</w:t>
      </w:r>
    </w:p>
    <w:p>
      <w:pPr>
        <w:pStyle w:val="ListBullet"/>
      </w:pPr>
      <w:r>
        <w:rPr>
          <w:b/>
        </w:rPr>
        <w:t>Restauração governada de soft-delete (REG-016):</w:t>
      </w:r>
      <w:r>
        <w:t xml:space="preserve"> existe </w:t>
      </w:r>
      <w:r>
        <w:rPr>
          <w:rFonts w:ascii="Courier New" w:hAnsi="Courier New"/>
          <w:sz w:val="18"/>
        </w:rPr>
        <w:t>EstaAtivo()</w:t>
      </w:r>
      <w:r>
        <w:t>, mas **não há fluxo/permissão de</w:t>
      </w:r>
    </w:p>
    <w:p>
      <w:r>
        <w:t xml:space="preserve">  undelete</w:t>
      </w:r>
      <w:r>
        <w:rPr>
          <w:b/>
        </w:rPr>
        <w:t xml:space="preserve"> no transversal. MC: definir política de exclusão/restauração/retenção — </w:t>
      </w:r>
      <w:r>
        <w:t>requer decisão (LGPD)**.</w:t>
      </w:r>
    </w:p>
    <w:p>
      <w:pPr>
        <w:pStyle w:val="ListBullet"/>
      </w:pPr>
      <w:r>
        <w:rPr>
          <w:b/>
        </w:rPr>
        <w:t>Entitlement de módulo real (REG-022):</w:t>
      </w:r>
      <w:r>
        <w:t xml:space="preserve"> </w:t>
      </w:r>
      <w:r>
        <w:rPr>
          <w:rFonts w:ascii="Courier New" w:hAnsi="Courier New"/>
          <w:sz w:val="18"/>
        </w:rPr>
        <w:t>ModuloTenantMiddleware</w:t>
      </w:r>
      <w:r>
        <w:t xml:space="preserve"> ainda é </w:t>
      </w:r>
      <w:r>
        <w:rPr>
          <w:b/>
        </w:rPr>
        <w:t>stub hardcoded</w:t>
      </w:r>
      <w:r>
        <w:t xml:space="preserve"> (</w:t>
      </w:r>
      <w:r>
        <w:rPr>
          <w:rFonts w:ascii="Courier New" w:hAnsi="Courier New"/>
          <w:sz w:val="18"/>
        </w:rPr>
        <w:t>:24-31</w:t>
      </w:r>
      <w:r>
        <w:t>), não ligado a</w:t>
      </w:r>
    </w:p>
    <w:p>
      <w:r>
        <w:t xml:space="preserve">  plano/limites reais.</w:t>
      </w:r>
    </w:p>
    <w:p>
      <w:pPr>
        <w:pStyle w:val="ListBullet"/>
      </w:pPr>
      <w:r>
        <w:rPr>
          <w:b/>
        </w:rPr>
        <w:t>`ConfiguracaoGlobal` sem `is_public` do legado:</w:t>
      </w:r>
      <w:r>
        <w:t xml:space="preserve"> visibilidade pública de setting não portada — confirmar se é</w:t>
      </w:r>
    </w:p>
    <w:p>
      <w:r>
        <w:t xml:space="preserve">  requisito real (EF possivelmente stale; DÚVIDA-7 da verificação).</w:t>
      </w:r>
    </w:p>
    <w:p>
      <w:pPr>
        <w:pStyle w:val="ListBullet"/>
      </w:pPr>
      <w:r>
        <w:rPr>
          <w:b/>
        </w:rPr>
        <w:t>Banco-por-tenant (REG-020):</w:t>
      </w:r>
      <w:r>
        <w:t xml:space="preserve"> </w:t>
      </w:r>
      <w:r>
        <w:rPr>
          <w:b/>
        </w:rPr>
        <w:t>N-A por decisão</w:t>
      </w:r>
      <w:r>
        <w:t xml:space="preserve"> — estratégia oficial é </w:t>
      </w:r>
      <w:r>
        <w:rPr>
          <w:b/>
        </w:rPr>
        <w:t>coluna única `tenant_id` + RLS</w:t>
      </w:r>
      <w:r>
        <w:t xml:space="preserve"> (não</w:t>
      </w:r>
    </w:p>
    <w:p>
      <w:r>
        <w:t xml:space="preserve">  banco/schema por tenant nem EmpresaID/GrupoID do legado). Atualizar EF (DECISOES §EF/MC).</w:t>
      </w:r>
    </w:p>
    <w:p>
      <w:pPr>
        <w:pStyle w:val="ListBullet"/>
      </w:pPr>
      <w:r>
        <w:rPr>
          <w:b/>
        </w:rPr>
        <w:t>Retenção de auditoria/geolocalização:</w:t>
      </w:r>
      <w:r>
        <w:t xml:space="preserve"> política não definida — </w:t>
      </w:r>
      <w:r>
        <w:rPr>
          <w:b/>
        </w:rPr>
        <w:t>requer decisão (compliance/LGPD)</w:t>
      </w:r>
      <w:r>
        <w:t>.</w:t>
      </w:r>
    </w:p>
    <w:p>
      <w:pPr>
        <w:pStyle w:val="Heading2"/>
      </w:pPr>
      <w:r>
        <w:t>7. Rastreabilidade</w:t>
      </w:r>
    </w:p>
    <w:p>
      <w:r>
        <w:t xml:space="preserve">EF </w:t>
      </w:r>
      <w:r>
        <w:rPr>
          <w:rFonts w:ascii="Courier New" w:hAnsi="Courier New"/>
          <w:sz w:val="18"/>
        </w:rPr>
        <w:t>EF_0_APLICATIVO_ISOLAMENTO_DE_DADOS_V1</w:t>
      </w:r>
      <w:r>
        <w:t xml:space="preserve"> (contrato; vocabulário legado EmpresaID/GrupoID </w:t>
      </w:r>
      <w:r>
        <w:rPr>
          <w:b/>
        </w:rPr>
        <w:t>aposentado</w:t>
      </w:r>
      <w:r>
        <w:t xml:space="preserve"> pela estratégia</w:t>
      </w:r>
    </w:p>
    <w:p>
      <w:r>
        <w:t xml:space="preserve">coluna-tenant) · MC (9 itens de validação humana + backlog P0/P1) · </w:t>
      </w:r>
      <w:r>
        <w:rPr>
          <w:rFonts w:ascii="Courier New" w:hAnsi="Courier New"/>
          <w:sz w:val="18"/>
        </w:rPr>
        <w:t>VERIFICACAO_IMPLEMENTACAO_V1</w:t>
      </w:r>
      <w:r>
        <w:t xml:space="preserve"> (M1–M12 + REG-001..025;</w:t>
      </w:r>
    </w:p>
    <w:p>
      <w:r>
        <w:t xml:space="preserve">note que os P0 REG-001 [órfã] e REG-021 [status], </w:t>
      </w:r>
      <w:r>
        <w:rPr>
          <w:rFonts w:ascii="Courier New" w:hAnsi="Courier New"/>
          <w:sz w:val="18"/>
        </w:rPr>
        <w:t>WITH CHECK</w:t>
      </w:r>
      <w:r>
        <w:t xml:space="preserve"> explícito e </w:t>
      </w:r>
      <w:r>
        <w:rPr>
          <w:rFonts w:ascii="Courier New" w:hAnsi="Courier New"/>
          <w:sz w:val="18"/>
        </w:rPr>
        <w:t>SET LOCAL</w:t>
      </w:r>
      <w:r>
        <w:t xml:space="preserve"> </w:t>
      </w:r>
      <w:r>
        <w:rPr>
          <w:b/>
        </w:rPr>
        <w:t>já foram fechados</w:t>
      </w:r>
      <w:r>
        <w:t xml:space="preserve"> no branch</w:t>
      </w:r>
    </w:p>
    <w:p>
      <w:r>
        <w:t xml:space="preserve">atual) · </w:t>
      </w:r>
      <w:r>
        <w:rPr>
          <w:rFonts w:ascii="Courier New" w:hAnsi="Courier New"/>
          <w:sz w:val="18"/>
        </w:rPr>
        <w:t>DECISOES_IMPLANTACAO_V1</w:t>
      </w:r>
      <w:r>
        <w:t xml:space="preserve"> (fechar bypass de acesso, gating StatusSaaS, guarda de órfã, WITH CHECK, SET LOCAL) ·</w:t>
      </w:r>
    </w:p>
    <w:p>
      <w:r>
        <w:rPr>
          <w:rFonts w:ascii="Courier New" w:hAnsi="Courier New"/>
          <w:sz w:val="18"/>
        </w:rPr>
        <w:t>MODELO_DADOS.md</w:t>
      </w:r>
      <w:r>
        <w:t xml:space="preserve"> (Fronteiras) · migrations </w:t>
      </w:r>
      <w:r>
        <w:rPr>
          <w:rFonts w:ascii="Courier New" w:hAnsi="Courier New"/>
          <w:sz w:val="18"/>
        </w:rPr>
        <w:t>EnableRlsOnExistingTables</w:t>
      </w:r>
      <w:r>
        <w:t xml:space="preserve">, </w:t>
      </w:r>
      <w:r>
        <w:rPr>
          <w:rFonts w:ascii="Courier New" w:hAnsi="Courier New"/>
          <w:sz w:val="18"/>
        </w:rPr>
        <w:t>AddAuthCrossTenantRlsPolicies</w:t>
      </w:r>
      <w:r>
        <w:t xml:space="preserve"> +</w:t>
      </w:r>
    </w:p>
    <w:p>
      <w:r>
        <w:rPr>
          <w:rFonts w:ascii="Courier New" w:hAnsi="Courier New"/>
          <w:sz w:val="18"/>
        </w:rPr>
        <w:t>EprosMigrationsSqlGenerator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