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— 1.10 PERMISSOES_DE_MENU (versão implantada V1)</w:t>
      </w:r>
    </w:p>
    <w:p>
      <w:pPr>
        <w:pStyle w:val="IntenseQuote"/>
      </w:pPr>
      <w:r>
        <w:rPr>
          <w:b/>
        </w:rPr>
        <w:t>Para que serve este documento.</w:t>
      </w:r>
      <w:r>
        <w:t xml:space="preserve"> A EF diz </w:t>
      </w:r>
      <w:r>
        <w:rPr>
          <w:i/>
        </w:rPr>
        <w:t>o que o módulo deve fazer</w:t>
      </w:r>
      <w:r>
        <w:t xml:space="preserve"> (contrato); a MC diz </w:t>
      </w:r>
      <w:r>
        <w:rPr>
          <w:i/>
        </w:rPr>
        <w:t>o que ainda falta</w:t>
      </w:r>
      <w:r>
        <w:t>;</w:t>
      </w:r>
    </w:p>
    <w:p>
      <w:pPr>
        <w:pStyle w:val="IntenseQuote"/>
      </w:pPr>
      <w:r>
        <w:t xml:space="preserve">este </w:t>
      </w:r>
      <w:r>
        <w:rPr>
          <w:b/>
        </w:rPr>
        <w:t>MANUAL diz o que FOI construído e por quê</w:t>
      </w:r>
      <w:r>
        <w:t xml:space="preserve"> — a lógica, os relacionamentos com outros módulos, os campos e o</w:t>
      </w:r>
    </w:p>
    <w:p>
      <w:pPr>
        <w:pStyle w:val="IntenseQuote"/>
      </w:pPr>
      <w:r>
        <w:t>comportamento real no EprosERP. É a base para entender o submódulo sem ler o código. Reflete a implantação V1</w:t>
      </w:r>
    </w:p>
    <w:p>
      <w:pPr>
        <w:pStyle w:val="IntenseQuote"/>
      </w:pPr>
      <w:r>
        <w:t xml:space="preserve">(migration </w:t>
      </w:r>
      <w:r>
        <w:rPr>
          <w:rFonts w:ascii="Courier New" w:hAnsi="Courier New"/>
          <w:sz w:val="18"/>
        </w:rPr>
        <w:t>Implanta_1_10_MenuPorCapacidade</w:t>
      </w:r>
      <w:r>
        <w:t xml:space="preserve"> sobre o RBAC unificado da 1.09).</w:t>
      </w:r>
    </w:p>
    <w:p>
      <w:pPr>
        <w:pStyle w:val="Heading2"/>
      </w:pPr>
      <w:r>
        <w:t>1. O que o submódulo faz</w:t>
      </w:r>
    </w:p>
    <w:p>
      <w:r>
        <w:t xml:space="preserve">Governa a </w:t>
      </w:r>
      <w:r>
        <w:rPr>
          <w:b/>
        </w:rPr>
        <w:t>árvore de menu</w:t>
      </w:r>
      <w:r>
        <w:t xml:space="preserve"> (navegação) do ERP e a </w:t>
      </w:r>
      <w:r>
        <w:rPr>
          <w:b/>
        </w:rPr>
        <w:t>projeção da sidebar a partir das capacidades efetivas</w:t>
      </w:r>
      <w:r>
        <w:t xml:space="preserve"> do</w:t>
      </w:r>
    </w:p>
    <w:p>
      <w:r>
        <w:t xml:space="preserve">usuário. O catálogo de menu é </w:t>
      </w:r>
      <w:r>
        <w:rPr>
          <w:b/>
        </w:rPr>
        <w:t>global</w:t>
      </w:r>
      <w:r>
        <w:t xml:space="preserve"> (3 níveis: </w:t>
      </w:r>
      <w:r>
        <w:rPr>
          <w:rFonts w:ascii="Courier New" w:hAnsi="Courier New"/>
          <w:sz w:val="18"/>
        </w:rPr>
        <w:t>Menu</w:t>
      </w:r>
      <w:r>
        <w:t xml:space="preserve"> → </w:t>
      </w:r>
      <w:r>
        <w:rPr>
          <w:rFonts w:ascii="Courier New" w:hAnsi="Courier New"/>
          <w:sz w:val="18"/>
        </w:rPr>
        <w:t>MenuItemNivel1</w:t>
      </w:r>
      <w:r>
        <w:t xml:space="preserve"> → </w:t>
      </w:r>
      <w:r>
        <w:rPr>
          <w:rFonts w:ascii="Courier New" w:hAnsi="Courier New"/>
          <w:sz w:val="18"/>
        </w:rPr>
        <w:t>MenuItemNivel2</w:t>
      </w:r>
      <w:r>
        <w:t>); cada nó carrega</w:t>
      </w:r>
    </w:p>
    <w:p>
      <w:r>
        <w:t xml:space="preserve">uma </w:t>
      </w:r>
      <w:r>
        <w:rPr>
          <w:rFonts w:ascii="Courier New" w:hAnsi="Courier New"/>
          <w:sz w:val="18"/>
        </w:rPr>
        <w:t>CapacidadeRequerida</w:t>
      </w:r>
      <w:r>
        <w:t xml:space="preserve"> ("recurso:acao") que é o </w:t>
      </w:r>
      <w:r>
        <w:rPr>
          <w:b/>
        </w:rPr>
        <w:t>mesmo par</w:t>
      </w:r>
      <w:r>
        <w:t xml:space="preserve"> cobrado pelo gate de API (</w:t>
      </w:r>
      <w:r>
        <w:rPr>
          <w:rFonts w:ascii="Courier New" w:hAnsi="Courier New"/>
          <w:sz w:val="18"/>
        </w:rPr>
        <w:t>[AbacAuthorize]</w:t>
      </w:r>
      <w:r>
        <w:t>/</w:t>
      </w:r>
      <w:r>
        <w:rPr>
          <w:rFonts w:ascii="Courier New" w:hAnsi="Courier New"/>
          <w:sz w:val="18"/>
        </w:rPr>
        <w:t>AbacFilter</w:t>
      </w:r>
      <w:r>
        <w:t>).</w:t>
      </w:r>
    </w:p>
    <w:p>
      <w:r>
        <w:t xml:space="preserve">O menu do usuário é uma </w:t>
      </w:r>
      <w:r>
        <w:rPr>
          <w:b/>
        </w:rPr>
        <w:t>PROJEÇÃO</w:t>
      </w:r>
      <w:r>
        <w:t>: um item só aparece se sua capacidade estiver no conjunto efetivo do usuário na</w:t>
      </w:r>
    </w:p>
    <w:p>
      <w:r>
        <w:rPr>
          <w:b/>
        </w:rPr>
        <w:t>empresa corrente</w:t>
      </w:r>
      <w:r>
        <w:t xml:space="preserve"> — fechando o invariante "item visível ⇔ endpoint autoriza" (REG-002/REG-080/§8.2/CA-007). A</w:t>
      </w:r>
    </w:p>
    <w:p>
      <w:r>
        <w:t xml:space="preserve">decisão-mãe da 1.10 construiu essa projeção sobre a </w:t>
      </w:r>
      <w:r>
        <w:rPr>
          <w:b/>
        </w:rPr>
        <w:t>fonte única</w:t>
      </w:r>
      <w:r>
        <w:t xml:space="preserve"> </w:t>
      </w:r>
      <w:r>
        <w:rPr>
          <w:rFonts w:ascii="Courier New" w:hAnsi="Courier New"/>
          <w:sz w:val="18"/>
        </w:rPr>
        <w:t>ICapacidadesEfetivasService</w:t>
      </w:r>
      <w:r>
        <w:t>, a mesma usada pelo</w:t>
      </w:r>
    </w:p>
    <w:p>
      <w:r>
        <w:rPr>
          <w:rFonts w:ascii="Courier New" w:hAnsi="Courier New"/>
          <w:sz w:val="18"/>
        </w:rPr>
        <w:t>AbacFilter</w:t>
      </w:r>
      <w:r>
        <w:t xml:space="preserve">. Convive ainda o modelo legado </w:t>
      </w:r>
      <w:r>
        <w:rPr>
          <w:rFonts w:ascii="Courier New" w:hAnsi="Courier New"/>
          <w:sz w:val="18"/>
        </w:rPr>
        <w:t>PerfilAcesso</w:t>
      </w:r>
      <w:r>
        <w:t xml:space="preserve"> + </w:t>
      </w:r>
      <w:r>
        <w:rPr>
          <w:rFonts w:ascii="Courier New" w:hAnsi="Courier New"/>
          <w:sz w:val="18"/>
        </w:rPr>
        <w:t>PerfilAcessoMenu</w:t>
      </w:r>
      <w:r>
        <w:t xml:space="preserve"> (matriz Ver/Editar/Excluir por item),</w:t>
      </w:r>
    </w:p>
    <w:p>
      <w:r>
        <w:t xml:space="preserve">mantido para CRUD e testes, </w:t>
      </w:r>
      <w:r>
        <w:rPr>
          <w:b/>
        </w:rPr>
        <w:t>não autoritativo</w:t>
      </w:r>
      <w:r>
        <w:t xml:space="preserve"> para a autorização real.</w:t>
      </w:r>
    </w:p>
    <w:p>
      <w:pPr>
        <w:pStyle w:val="Heading2"/>
      </w:pPr>
      <w:r>
        <w:t>2. Onde vive no código</w:t>
      </w:r>
    </w:p>
    <w:p>
      <w:pPr>
        <w:pStyle w:val="ListBullet"/>
      </w:pPr>
      <w:r>
        <w:rPr>
          <w:b/>
        </w:rPr>
        <w:t>`src/Modules/Epros.Modules.GestaoClientes/Domain/Entities`</w:t>
      </w:r>
      <w:r>
        <w:t xml:space="preserve"> — catálogo (</w:t>
      </w:r>
      <w:r>
        <w:rPr>
          <w:rFonts w:ascii="Courier New" w:hAnsi="Courier New"/>
          <w:sz w:val="18"/>
        </w:rPr>
        <w:t>Menu.cs</w:t>
      </w:r>
      <w:r>
        <w:t xml:space="preserve">, </w:t>
      </w:r>
      <w:r>
        <w:rPr>
          <w:rFonts w:ascii="Courier New" w:hAnsi="Courier New"/>
          <w:sz w:val="18"/>
        </w:rPr>
        <w:t>MenuItemNivel1.cs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MenuItemNivel2.cs</w:t>
      </w:r>
      <w:r>
        <w:t xml:space="preserve">, todos </w:t>
      </w:r>
      <w:r>
        <w:rPr>
          <w:rFonts w:ascii="Courier New" w:hAnsi="Courier New"/>
          <w:sz w:val="18"/>
        </w:rPr>
        <w:t>IGlobalEntity</w:t>
      </w:r>
      <w:r>
        <w:t>) e modelo legado (</w:t>
      </w:r>
      <w:r>
        <w:rPr>
          <w:rFonts w:ascii="Courier New" w:hAnsi="Courier New"/>
          <w:sz w:val="18"/>
        </w:rPr>
        <w:t>PerfilAcesso.cs</w:t>
      </w:r>
      <w:r>
        <w:t xml:space="preserve">, </w:t>
      </w:r>
      <w:r>
        <w:rPr>
          <w:rFonts w:ascii="Courier New" w:hAnsi="Courier New"/>
          <w:sz w:val="18"/>
        </w:rPr>
        <w:t>PerfilAcessoMenu.cs</w:t>
      </w:r>
      <w:r>
        <w:t>).</w:t>
      </w:r>
    </w:p>
    <w:p>
      <w:pPr>
        <w:pStyle w:val="ListBullet"/>
      </w:pPr>
      <w:r>
        <w:rPr>
          <w:b/>
        </w:rPr>
        <w:t>`src/Modules/Epros.Modules.GestaoClientes/Application/Services/CapacidadesEfetivasService.cs`</w:t>
      </w:r>
      <w:r>
        <w:t xml:space="preserve"> — fonte única das</w:t>
      </w:r>
    </w:p>
    <w:p>
      <w:r>
        <w:t xml:space="preserve">  capacidades efetivas (Concedidas/Negadas), compartilhada com o gate.</w:t>
      </w:r>
    </w:p>
    <w:p>
      <w:pPr>
        <w:pStyle w:val="ListBullet"/>
      </w:pPr>
      <w:r>
        <w:rPr>
          <w:b/>
        </w:rPr>
        <w:t>`src/Modules/Epros.Modules.Aplicativo/Application/Handlers/MenusQueryHandlers.cs`</w:t>
      </w:r>
      <w:r>
        <w:t xml:space="preserve"> — projeção por capacidade</w:t>
      </w:r>
    </w:p>
    <w:p>
      <w:r>
        <w:t xml:space="preserve">  (</w:t>
      </w:r>
      <w:r>
        <w:rPr>
          <w:rFonts w:ascii="Courier New" w:hAnsi="Courier New"/>
          <w:sz w:val="18"/>
        </w:rPr>
        <w:t>ObterMenuDoUsuarioQueryHandler</w:t>
      </w:r>
      <w:r>
        <w:t>), árvore legada (</w:t>
      </w:r>
      <w:r>
        <w:rPr>
          <w:rFonts w:ascii="Courier New" w:hAnsi="Courier New"/>
          <w:sz w:val="18"/>
        </w:rPr>
        <w:t>ObterAcessosSessaoQueryHandler</w:t>
      </w:r>
      <w:r>
        <w:t>), catálogo e CRUD de perfil.</w:t>
      </w:r>
    </w:p>
    <w:p>
      <w:pPr>
        <w:pStyle w:val="ListBullet"/>
      </w:pPr>
      <w:r>
        <w:rPr>
          <w:b/>
        </w:rPr>
        <w:t>`src/API/Epros.API/Security/AbacFilter.cs`</w:t>
      </w:r>
      <w:r>
        <w:t xml:space="preserve"> — gate real por RBAC (delega ao mesmo serviço de capacidades).</w:t>
      </w:r>
    </w:p>
    <w:p>
      <w:pPr>
        <w:pStyle w:val="ListBullet"/>
      </w:pPr>
      <w:r>
        <w:rPr>
          <w:b/>
        </w:rPr>
        <w:t>`src/API/Epros.API/Controllers`</w:t>
      </w:r>
      <w:r>
        <w:t xml:space="preserve"> — </w:t>
      </w:r>
      <w:r>
        <w:rPr>
          <w:rFonts w:ascii="Courier New" w:hAnsi="Courier New"/>
          <w:sz w:val="18"/>
        </w:rPr>
        <w:t>MenuUsuarioController</w:t>
      </w:r>
      <w:r>
        <w:t xml:space="preserve"> (</w:t>
      </w:r>
      <w:r>
        <w:rPr>
          <w:rFonts w:ascii="Courier New" w:hAnsi="Courier New"/>
          <w:sz w:val="18"/>
        </w:rPr>
        <w:t>GET /api/v1/menu</w:t>
      </w:r>
      <w:r>
        <w:t xml:space="preserve">), </w:t>
      </w:r>
      <w:r>
        <w:rPr>
          <w:rFonts w:ascii="Courier New" w:hAnsi="Courier New"/>
          <w:sz w:val="18"/>
        </w:rPr>
        <w:t>CatalogoMenuController</w:t>
      </w:r>
    </w:p>
    <w:p>
      <w:r>
        <w:t xml:space="preserve">  (CRUD do catálogo + </w:t>
      </w:r>
      <w:r>
        <w:rPr>
          <w:rFonts w:ascii="Courier New" w:hAnsi="Courier New"/>
          <w:sz w:val="18"/>
        </w:rPr>
        <w:t>POST catalogo-menus/acessos</w:t>
      </w:r>
      <w:r>
        <w:t xml:space="preserve">), </w:t>
      </w:r>
      <w:r>
        <w:rPr>
          <w:rFonts w:ascii="Courier New" w:hAnsi="Courier New"/>
          <w:sz w:val="18"/>
        </w:rPr>
        <w:t>MenusController</w:t>
      </w:r>
      <w:r>
        <w:t xml:space="preserve"> / </w:t>
      </w:r>
      <w:r>
        <w:rPr>
          <w:rFonts w:ascii="Courier New" w:hAnsi="Courier New"/>
          <w:sz w:val="18"/>
        </w:rPr>
        <w:t>MenuCatalogoController</w:t>
      </w:r>
      <w:r>
        <w:t xml:space="preserve"> (árvore/paginado),</w:t>
      </w:r>
    </w:p>
    <w:p>
      <w:r>
        <w:t xml:space="preserve">  </w:t>
      </w:r>
      <w:r>
        <w:rPr>
          <w:rFonts w:ascii="Courier New" w:hAnsi="Courier New"/>
          <w:sz w:val="18"/>
        </w:rPr>
        <w:t>PerfisAcessoController</w:t>
      </w:r>
      <w:r>
        <w:t xml:space="preserve"> (CRUD do perfil legado). Rota base </w:t>
      </w:r>
      <w:r>
        <w:rPr>
          <w:rFonts w:ascii="Courier New" w:hAnsi="Courier New"/>
          <w:sz w:val="18"/>
        </w:rPr>
        <w:t>/api/v1/...</w:t>
      </w:r>
      <w:r>
        <w:t>.</w:t>
      </w:r>
    </w:p>
    <w:p>
      <w:pPr>
        <w:pStyle w:val="ListBullet"/>
      </w:pPr>
      <w:r>
        <w:rPr>
          <w:b/>
        </w:rPr>
        <w:t>Migration:</w:t>
      </w:r>
      <w:r>
        <w:t xml:space="preserve"> </w:t>
      </w:r>
      <w:r>
        <w:rPr>
          <w:rFonts w:ascii="Courier New" w:hAnsi="Courier New"/>
          <w:sz w:val="18"/>
        </w:rPr>
        <w:t>src/Modules/Epros.Modules.GestaoClientes/Migrations/20260731233235_Implanta_1_10_MenuPorCapacidade.cs</w:t>
      </w:r>
      <w:r>
        <w:t>.</w:t>
      </w:r>
    </w:p>
    <w:p>
      <w:pPr>
        <w:pStyle w:val="Heading2"/>
      </w:pPr>
      <w:r>
        <w:t>3. Entidades e campos (o que foi implantado)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Campos-chave (com o que a V1 adicionou em </w:t>
            </w:r>
            <w:r>
              <w:rPr>
                <w:b/>
              </w:rPr>
              <w:t>negrito</w:t>
            </w:r>
            <w:r>
              <w:rPr>
                <w:b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Menu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plataforma.menus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Id, Descricao, Icon, To, Ordem, Modulo, </w:t>
            </w:r>
            <w:r>
              <w:rPr>
                <w:b/>
              </w:rPr>
              <w:t>CapacidadeRequerida</w:t>
            </w:r>
            <w:r>
              <w:t xml:space="preserve"> (text, nullable), ItensNivel1</w:t>
            </w:r>
          </w:p>
        </w:tc>
        <w:tc>
          <w:tcPr>
            <w:tcW w:type="dxa" w:w="2880"/>
          </w:tcPr>
          <w:p>
            <w:r>
              <w:t xml:space="preserve">Nó raiz do menu (catálogo global </w:t>
            </w:r>
            <w:r>
              <w:rPr>
                <w:rFonts w:ascii="Courier New" w:hAnsi="Courier New"/>
                <w:sz w:val="18"/>
              </w:rPr>
              <w:t>IGlobalEntity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MenuItemNivel1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menus_itens_nivel1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Id, MenuId(FK), Descricao, Icon, To, Ordem, Modulo, </w:t>
            </w:r>
            <w:r>
              <w:rPr>
                <w:b/>
              </w:rPr>
              <w:t>CapacidadeRequerida</w:t>
            </w:r>
            <w:r>
              <w:t>, ItensNivel2</w:t>
            </w:r>
          </w:p>
        </w:tc>
        <w:tc>
          <w:tcPr>
            <w:tcW w:type="dxa" w:w="2880"/>
          </w:tcPr>
          <w:p>
            <w:r>
              <w:t>Item de 1º nível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MenuItemNivel2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menus_itens_nivel2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Id, MenuItemNivel1Id(FK), Descricao, Icon, To, Ordem, Modulo, </w:t>
            </w:r>
            <w:r>
              <w:rPr>
                <w:b/>
              </w:rPr>
              <w:t>CapacidadeRequerida</w:t>
            </w:r>
          </w:p>
        </w:tc>
        <w:tc>
          <w:tcPr>
            <w:tcW w:type="dxa" w:w="2880"/>
          </w:tcPr>
          <w:p>
            <w:r>
              <w:t>Folha (rota)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PerfilAcesso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perfil_usuario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Descricao (máx </w:t>
            </w:r>
            <w:r>
              <w:rPr>
                <w:b/>
              </w:rPr>
              <w:t>100</w:t>
            </w:r>
            <w:r>
              <w:t>), Ativo, TenantId, Acessos (SaaS base, exclusão lógica)</w:t>
            </w:r>
          </w:p>
        </w:tc>
        <w:tc>
          <w:tcPr>
            <w:tcW w:type="dxa" w:w="2880"/>
          </w:tcPr>
          <w:p>
            <w:r>
              <w:t>Perfil legado de menu por tenant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PerfilAcessoMenu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perfil_usuario_acesso</w:t>
            </w:r>
            <w:r>
              <w:t>)</w:t>
            </w:r>
          </w:p>
        </w:tc>
        <w:tc>
          <w:tcPr>
            <w:tcW w:type="dxa" w:w="2880"/>
          </w:tcPr>
          <w:p>
            <w:r>
              <w:t>PerfilAcessoId(FK), MenuId(FK), MenuItemNivel1Id?, MenuItemNivel2Id?, Ver, Editar, Excluir</w:t>
            </w:r>
          </w:p>
        </w:tc>
        <w:tc>
          <w:tcPr>
            <w:tcW w:type="dxa" w:w="2880"/>
          </w:tcPr>
          <w:p>
            <w:r>
              <w:t>Grão Ver/Editar/Excluir por item (legado)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CapacidadesEfetivas</w:t>
            </w:r>
            <w:r>
              <w:t xml:space="preserve"> (objeto, não-tabela)</w:t>
            </w:r>
          </w:p>
        </w:tc>
        <w:tc>
          <w:tcPr>
            <w:tcW w:type="dxa" w:w="2880"/>
          </w:tcPr>
          <w:p>
            <w:r>
              <w:t xml:space="preserve">Concedidas (HashSet), Negadas (HashSet), </w:t>
            </w:r>
            <w:r>
              <w:rPr>
                <w:rFonts w:ascii="Courier New" w:hAnsi="Courier New"/>
                <w:sz w:val="18"/>
              </w:rPr>
              <w:t>PodeUsar(cap)</w:t>
            </w:r>
            <w:r>
              <w:t xml:space="preserve"> = concedida ∧ ¬negada</w:t>
            </w:r>
          </w:p>
        </w:tc>
        <w:tc>
          <w:tcPr>
            <w:tcW w:type="dxa" w:w="2880"/>
          </w:tcPr>
          <w:p>
            <w:r>
              <w:t>Conjunto efetivo do usuário/empresa</w:t>
            </w:r>
          </w:p>
        </w:tc>
      </w:tr>
    </w:tbl>
    <w:p/>
    <w:p>
      <w:r>
        <w:t xml:space="preserve">Fonte de dados do RBAC (consumida pela projeção, definidas na 1.09): </w:t>
      </w:r>
      <w:r>
        <w:rPr>
          <w:rFonts w:ascii="Courier New" w:hAnsi="Courier New"/>
          <w:sz w:val="18"/>
        </w:rPr>
        <w:t>Capacidade</w:t>
      </w:r>
      <w:r>
        <w:t xml:space="preserve">, </w:t>
      </w:r>
      <w:r>
        <w:rPr>
          <w:rFonts w:ascii="Courier New" w:hAnsi="Courier New"/>
          <w:sz w:val="18"/>
        </w:rPr>
        <w:t>Papel</w:t>
      </w:r>
      <w:r>
        <w:t xml:space="preserve">, </w:t>
      </w:r>
      <w:r>
        <w:rPr>
          <w:rFonts w:ascii="Courier New" w:hAnsi="Courier New"/>
          <w:sz w:val="18"/>
        </w:rPr>
        <w:t>UsuarioPapel</w:t>
      </w:r>
    </w:p>
    <w:p>
      <w:r>
        <w:t xml:space="preserve">(com </w:t>
      </w:r>
      <w:r>
        <w:rPr>
          <w:rFonts w:ascii="Courier New" w:hAnsi="Courier New"/>
          <w:sz w:val="18"/>
        </w:rPr>
        <w:t>EmpresaId</w:t>
      </w:r>
      <w:r>
        <w:t xml:space="preserve">), </w:t>
      </w:r>
      <w:r>
        <w:rPr>
          <w:rFonts w:ascii="Courier New" w:hAnsi="Courier New"/>
          <w:sz w:val="18"/>
        </w:rPr>
        <w:t>PapelCapacidade</w:t>
      </w:r>
      <w:r>
        <w:t xml:space="preserve">, </w:t>
      </w:r>
      <w:r>
        <w:rPr>
          <w:rFonts w:ascii="Courier New" w:hAnsi="Courier New"/>
          <w:sz w:val="18"/>
        </w:rPr>
        <w:t>UsuarioCapacidade</w:t>
      </w:r>
      <w:r>
        <w:t xml:space="preserve"> (</w:t>
      </w:r>
      <w:r>
        <w:rPr>
          <w:rFonts w:ascii="Courier New" w:hAnsi="Courier New"/>
          <w:sz w:val="18"/>
        </w:rPr>
        <w:t>Granted</w:t>
      </w:r>
      <w:r>
        <w:t xml:space="preserve"> bool = grant/deny).</w:t>
      </w:r>
    </w:p>
    <w:p>
      <w:pPr>
        <w:pStyle w:val="Heading2"/>
      </w:pPr>
      <w:r>
        <w:t>4. A lógica (regras implantadas)</w:t>
      </w:r>
    </w:p>
    <w:p>
      <w:pPr>
        <w:pStyle w:val="ListNumber"/>
      </w:pPr>
      <w:r>
        <w:rPr>
          <w:b/>
        </w:rPr>
        <w:t>Menu é PROJEÇÃO das capacidades (decisão-mãe 1.10).</w:t>
      </w:r>
      <w:r>
        <w:t xml:space="preserve"> </w:t>
      </w:r>
      <w:r>
        <w:rPr>
          <w:rFonts w:ascii="Courier New" w:hAnsi="Courier New"/>
          <w:sz w:val="18"/>
        </w:rPr>
        <w:t>ObterMenuDoUsuarioQueryHandler</w:t>
      </w:r>
    </w:p>
    <w:p>
      <w:r>
        <w:t xml:space="preserve">   (</w:t>
      </w:r>
      <w:r>
        <w:rPr>
          <w:rFonts w:ascii="Courier New" w:hAnsi="Courier New"/>
          <w:sz w:val="18"/>
        </w:rPr>
        <w:t>MenusQueryHandlers.cs:615-756</w:t>
      </w:r>
      <w:r>
        <w:t xml:space="preserve">): para cada nó do catálogo, o item aparece </w:t>
      </w:r>
      <w:r>
        <w:rPr>
          <w:b/>
        </w:rPr>
        <w:t>só se</w:t>
      </w:r>
      <w:r>
        <w:t xml:space="preserve"> </w:t>
      </w:r>
      <w:r>
        <w:rPr>
          <w:rFonts w:ascii="Courier New" w:hAnsi="Courier New"/>
          <w:sz w:val="18"/>
        </w:rPr>
        <w:t>CapacidadeRequerida != null</w:t>
      </w:r>
    </w:p>
    <w:p>
      <w:r>
        <w:t xml:space="preserve">   </w:t>
      </w:r>
      <w:r>
        <w:rPr>
          <w:b/>
        </w:rPr>
        <w:t>E</w:t>
      </w:r>
      <w:r>
        <w:t xml:space="preserve"> </w:t>
      </w:r>
      <w:r>
        <w:rPr>
          <w:rFonts w:ascii="Courier New" w:hAnsi="Courier New"/>
          <w:sz w:val="18"/>
        </w:rPr>
        <w:t>efetivas.PodeUsar(cap)</w:t>
      </w:r>
      <w:r>
        <w:t xml:space="preserve"> (</w:t>
      </w:r>
      <w:r>
        <w:rPr>
          <w:rFonts w:ascii="Courier New" w:hAnsi="Courier New"/>
          <w:sz w:val="18"/>
        </w:rPr>
        <w:t>:725,:733,:741</w:t>
      </w:r>
      <w:r>
        <w:t>). Nó estrutural (sem capacidade) só aparece se tiver filho visível —</w:t>
      </w:r>
    </w:p>
    <w:p>
      <w:r>
        <w:t xml:space="preserve">   </w:t>
      </w:r>
      <w:r>
        <w:rPr>
          <w:b/>
        </w:rPr>
        <w:t>nega por padrão</w:t>
      </w:r>
      <w:r>
        <w:t xml:space="preserve"> (REG-002). Não substitui o gate: esconder no menu é defense-in-depth.</w:t>
      </w:r>
    </w:p>
    <w:p>
      <w:pPr>
        <w:pStyle w:val="ListNumber"/>
      </w:pPr>
      <w:r>
        <w:rPr>
          <w:b/>
        </w:rPr>
        <w:t>Fonte única gate × menu.</w:t>
      </w:r>
      <w:r>
        <w:t xml:space="preserve"> </w:t>
      </w:r>
      <w:r>
        <w:rPr>
          <w:rFonts w:ascii="Courier New" w:hAnsi="Courier New"/>
          <w:sz w:val="18"/>
        </w:rPr>
        <w:t>CapacidadesEfetivasService.ObterAsync</w:t>
      </w:r>
      <w:r>
        <w:t xml:space="preserve"> (</w:t>
      </w:r>
      <w:r>
        <w:rPr>
          <w:rFonts w:ascii="Courier New" w:hAnsi="Courier New"/>
          <w:sz w:val="18"/>
        </w:rPr>
        <w:t>CapacidadesEfetivasService.cs:63-124</w:t>
      </w:r>
      <w:r>
        <w:t>) computa</w:t>
      </w:r>
    </w:p>
    <w:p>
      <w:r>
        <w:t xml:space="preserve">   </w:t>
      </w:r>
      <w:r>
        <w:rPr>
          <w:rFonts w:ascii="Courier New" w:hAnsi="Courier New"/>
          <w:sz w:val="18"/>
        </w:rPr>
        <w:t>Concedidas</w:t>
      </w:r>
      <w:r>
        <w:t xml:space="preserve"> = papéis do usuário na empresa corrente (papel com </w:t>
      </w:r>
      <w:r>
        <w:rPr>
          <w:rFonts w:ascii="Courier New" w:hAnsi="Courier New"/>
          <w:sz w:val="18"/>
        </w:rPr>
        <w:t>EmpresaId</w:t>
      </w:r>
      <w:r>
        <w:t xml:space="preserve"> nulo vale p/ todas) + grant direto; </w:t>
      </w:r>
      <w:r>
        <w:rPr>
          <w:rFonts w:ascii="Courier New" w:hAnsi="Courier New"/>
          <w:sz w:val="18"/>
        </w:rPr>
        <w:t>Negadas</w:t>
      </w:r>
    </w:p>
    <w:p>
      <w:r>
        <w:t xml:space="preserve">   = deny direto (REG-040/041). O </w:t>
      </w:r>
      <w:r>
        <w:rPr>
          <w:rFonts w:ascii="Courier New" w:hAnsi="Courier New"/>
          <w:sz w:val="18"/>
        </w:rPr>
        <w:t>AbacFilter.cs:118-135</w:t>
      </w:r>
      <w:r>
        <w:t xml:space="preserve"> resolve </w:t>
      </w:r>
      <w:r>
        <w:rPr>
          <w:b/>
        </w:rPr>
        <w:t>o mesmo serviço</w:t>
      </w:r>
      <w:r>
        <w:t xml:space="preserve"> via </w:t>
      </w:r>
      <w:r>
        <w:rPr>
          <w:rFonts w:ascii="Courier New" w:hAnsi="Courier New"/>
          <w:sz w:val="18"/>
        </w:rPr>
        <w:t>RequestServices</w:t>
      </w:r>
      <w:r>
        <w:t xml:space="preserve"> e autoriza por</w:t>
      </w:r>
    </w:p>
    <w:p>
      <w:r>
        <w:t xml:space="preserve">   </w:t>
      </w:r>
      <w:r>
        <w:rPr>
          <w:rFonts w:ascii="Courier New" w:hAnsi="Courier New"/>
          <w:sz w:val="18"/>
        </w:rPr>
        <w:t>Concedidas.Contains(requerida)</w:t>
      </w:r>
      <w:r>
        <w:t xml:space="preserve"> com </w:t>
      </w:r>
      <w:r>
        <w:rPr>
          <w:rFonts w:ascii="Courier New" w:hAnsi="Courier New"/>
          <w:sz w:val="18"/>
        </w:rPr>
        <w:t>Negadas</w:t>
      </w:r>
      <w:r>
        <w:t xml:space="preserve"> sobrepondo — garante "visível ⇔ autoriza" (fecha LC-1/LC-2).</w:t>
      </w:r>
    </w:p>
    <w:p>
      <w:pPr>
        <w:pStyle w:val="ListNumber"/>
      </w:pPr>
      <w:r>
        <w:rPr>
          <w:b/>
        </w:rPr>
        <w:t>Papel por empresa (1.09).</w:t>
      </w:r>
      <w:r>
        <w:t xml:space="preserve"> A projeção resolve pela </w:t>
      </w:r>
      <w:r>
        <w:rPr>
          <w:b/>
        </w:rPr>
        <w:t>empresa corrente</w:t>
      </w:r>
      <w:r>
        <w:t xml:space="preserve"> (</w:t>
      </w:r>
      <w:r>
        <w:rPr>
          <w:rFonts w:ascii="Courier New" w:hAnsi="Courier New"/>
          <w:sz w:val="18"/>
        </w:rPr>
        <w:t>request.EmpresaId</w:t>
      </w:r>
      <w:r>
        <w:t xml:space="preserve">) — </w:t>
      </w:r>
      <w:r>
        <w:rPr>
          <w:rFonts w:ascii="Courier New" w:hAnsi="Courier New"/>
          <w:sz w:val="18"/>
        </w:rPr>
        <w:t>ObterAsync</w:t>
      </w:r>
      <w:r>
        <w:t xml:space="preserve"> filtra</w:t>
      </w:r>
    </w:p>
    <w:p>
      <w:r>
        <w:t xml:space="preserve">   </w:t>
      </w:r>
      <w:r>
        <w:rPr>
          <w:rFonts w:ascii="Courier New" w:hAnsi="Courier New"/>
          <w:sz w:val="18"/>
        </w:rPr>
        <w:t>up.EmpresaId == null || up.EmpresaId == empresaCorrente</w:t>
      </w:r>
      <w:r>
        <w:t xml:space="preserve"> (</w:t>
      </w:r>
      <w:r>
        <w:rPr>
          <w:rFonts w:ascii="Courier New" w:hAnsi="Courier New"/>
          <w:sz w:val="18"/>
        </w:rPr>
        <w:t>:88</w:t>
      </w:r>
      <w:r>
        <w:t xml:space="preserve">). O </w:t>
      </w:r>
      <w:r>
        <w:rPr>
          <w:rFonts w:ascii="Courier New" w:hAnsi="Courier New"/>
          <w:sz w:val="18"/>
        </w:rPr>
        <w:t>AbacFilter</w:t>
      </w:r>
      <w:r>
        <w:t xml:space="preserve"> usa a claim </w:t>
      </w:r>
      <w:r>
        <w:rPr>
          <w:rFonts w:ascii="Courier New" w:hAnsi="Courier New"/>
          <w:sz w:val="18"/>
        </w:rPr>
        <w:t>empresaId</w:t>
      </w:r>
      <w:r>
        <w:t xml:space="preserve"> do token</w:t>
      </w:r>
    </w:p>
    <w:p>
      <w:r>
        <w:t xml:space="preserve">   (</w:t>
      </w:r>
      <w:r>
        <w:rPr>
          <w:rFonts w:ascii="Courier New" w:hAnsi="Courier New"/>
          <w:sz w:val="18"/>
        </w:rPr>
        <w:t>AbacFilter.cs:111-114</w:t>
      </w:r>
      <w:r>
        <w:t>). Um usuário Admin na empresa A e Vendedor na B enxerga menus distintos por empresa (fecha LC-4).</w:t>
      </w:r>
    </w:p>
    <w:p>
      <w:pPr>
        <w:pStyle w:val="ListNumber"/>
      </w:pPr>
      <w:r>
        <w:rPr>
          <w:b/>
        </w:rPr>
        <w:t>Furo `IsAdmin` do corpo FECHADO.</w:t>
      </w:r>
      <w:r>
        <w:t xml:space="preserve"> </w:t>
      </w:r>
      <w:r>
        <w:rPr>
          <w:rFonts w:ascii="Courier New" w:hAnsi="Courier New"/>
          <w:sz w:val="18"/>
        </w:rPr>
        <w:t>CatalogoMenuController.ObterAcessos</w:t>
      </w:r>
      <w:r>
        <w:t xml:space="preserve"> (</w:t>
      </w:r>
      <w:r>
        <w:rPr>
          <w:rFonts w:ascii="Courier New" w:hAnsi="Courier New"/>
          <w:sz w:val="18"/>
        </w:rPr>
        <w:t>:32-49</w:t>
      </w:r>
      <w:r>
        <w:t xml:space="preserve">) </w:t>
      </w:r>
      <w:r>
        <w:rPr>
          <w:b/>
        </w:rPr>
        <w:t>ignora o corpo</w:t>
      </w:r>
      <w:r>
        <w:t>: identidade e</w:t>
      </w:r>
    </w:p>
    <w:p>
      <w:r>
        <w:t xml:space="preserve">   empresa vêm </w:t>
      </w:r>
      <w:r>
        <w:rPr>
          <w:b/>
        </w:rPr>
        <w:t>sempre do token</w:t>
      </w:r>
      <w:r>
        <w:t xml:space="preserve">; repontado para a mesma </w:t>
      </w:r>
      <w:r>
        <w:rPr>
          <w:rFonts w:ascii="Courier New" w:hAnsi="Courier New"/>
          <w:sz w:val="18"/>
        </w:rPr>
        <w:t>ObterMenuDoUsuarioQuery</w:t>
      </w:r>
      <w:r>
        <w:t xml:space="preserve">. </w:t>
      </w:r>
      <w:r>
        <w:rPr>
          <w:rFonts w:ascii="Courier New" w:hAnsi="Courier New"/>
          <w:sz w:val="18"/>
        </w:rPr>
        <w:t>isAdmin</w:t>
      </w:r>
      <w:r>
        <w:t xml:space="preserve"> é </w:t>
      </w:r>
      <w:r>
        <w:rPr>
          <w:b/>
        </w:rPr>
        <w:t>derivado do RBAC</w:t>
      </w:r>
    </w:p>
    <w:p>
      <w:r>
        <w:t xml:space="preserve">   (papel de sistema "Administrador", </w:t>
      </w:r>
      <w:r>
        <w:rPr>
          <w:rFonts w:ascii="Courier New" w:hAnsi="Courier New"/>
          <w:sz w:val="18"/>
        </w:rPr>
        <w:t>MenusQueryHandlers.cs:678-686</w:t>
      </w:r>
      <w:r>
        <w:t>), não afirmável pelo chamador — sem bypass.</w:t>
      </w:r>
    </w:p>
    <w:p>
      <w:pPr>
        <w:pStyle w:val="ListNumber"/>
      </w:pPr>
      <w:r>
        <w:rPr>
          <w:b/>
        </w:rPr>
        <w:t>Entitlement de plano (1.06).</w:t>
      </w:r>
      <w:r>
        <w:t xml:space="preserve"> A projeção oculta módulo não contratado: </w:t>
      </w:r>
      <w:r>
        <w:rPr>
          <w:rFonts w:ascii="Courier New" w:hAnsi="Courier New"/>
          <w:sz w:val="18"/>
        </w:rPr>
        <w:t>ModuloContratado</w:t>
      </w:r>
      <w:r>
        <w:t xml:space="preserve"> (</w:t>
      </w:r>
      <w:r>
        <w:rPr>
          <w:rFonts w:ascii="Courier New" w:hAnsi="Courier New"/>
          <w:sz w:val="18"/>
        </w:rPr>
        <w:t>:670-671</w:t>
      </w:r>
      <w:r>
        <w:t>) confere</w:t>
      </w:r>
    </w:p>
    <w:p>
      <w:r>
        <w:t xml:space="preserve">   </w:t>
      </w:r>
      <w:r>
        <w:rPr>
          <w:rFonts w:ascii="Courier New" w:hAnsi="Courier New"/>
          <w:sz w:val="18"/>
        </w:rPr>
        <w:t>menu.Modulo</w:t>
      </w:r>
      <w:r>
        <w:t xml:space="preserve"> contra os módulos do plano do tenant (</w:t>
      </w:r>
      <w:r>
        <w:rPr>
          <w:rFonts w:ascii="Courier New" w:hAnsi="Courier New"/>
          <w:sz w:val="18"/>
        </w:rPr>
        <w:t>plano.Modulos</w:t>
      </w:r>
      <w:r>
        <w:t xml:space="preserve">, </w:t>
      </w:r>
      <w:r>
        <w:rPr>
          <w:rFonts w:ascii="Courier New" w:hAnsi="Courier New"/>
          <w:sz w:val="18"/>
        </w:rPr>
        <w:t>:663-667</w:t>
      </w:r>
      <w:r>
        <w:t>). Fail-safe: sem plano resolvível, não</w:t>
      </w:r>
    </w:p>
    <w:p>
      <w:r>
        <w:t xml:space="preserve">   filtra por módulo (mesma postura do </w:t>
      </w:r>
      <w:r>
        <w:rPr>
          <w:rFonts w:ascii="Courier New" w:hAnsi="Courier New"/>
          <w:sz w:val="18"/>
        </w:rPr>
        <w:t>ModuloTenantMiddleware</w:t>
      </w:r>
      <w:r>
        <w:t>) — o gate ainda protege a API.</w:t>
      </w:r>
    </w:p>
    <w:p>
      <w:pPr>
        <w:pStyle w:val="ListNumber"/>
      </w:pPr>
      <w:r>
        <w:rPr>
          <w:b/>
        </w:rPr>
        <w:t>Ocultação MEI (REG-030).</w:t>
      </w:r>
      <w:r>
        <w:t xml:space="preserve"> </w:t>
      </w:r>
      <w:r>
        <w:rPr>
          <w:rFonts w:ascii="Courier New" w:hAnsi="Courier New"/>
          <w:sz w:val="18"/>
        </w:rPr>
        <w:t>OcultaPorMei</w:t>
      </w:r>
      <w:r>
        <w:t xml:space="preserve"> (</w:t>
      </w:r>
      <w:r>
        <w:rPr>
          <w:rFonts w:ascii="Courier New" w:hAnsi="Courier New"/>
          <w:sz w:val="18"/>
        </w:rPr>
        <w:t>:691-696</w:t>
      </w:r>
      <w:r>
        <w:t xml:space="preserve">) esconde nós cuja </w:t>
      </w:r>
      <w:r>
        <w:rPr>
          <w:rFonts w:ascii="Courier New" w:hAnsi="Courier New"/>
          <w:sz w:val="18"/>
        </w:rPr>
        <w:t>Descricao</w:t>
      </w:r>
      <w:r>
        <w:t>/</w:t>
      </w:r>
      <w:r>
        <w:rPr>
          <w:rFonts w:ascii="Courier New" w:hAnsi="Courier New"/>
          <w:sz w:val="18"/>
        </w:rPr>
        <w:t>Modulo</w:t>
      </w:r>
      <w:r>
        <w:t xml:space="preserve"> contém "MEI" quando a</w:t>
      </w:r>
    </w:p>
    <w:p>
      <w:r>
        <w:t xml:space="preserve">   empresa </w:t>
      </w:r>
      <w:r>
        <w:rPr>
          <w:b/>
        </w:rPr>
        <w:t>não</w:t>
      </w:r>
      <w:r>
        <w:t xml:space="preserve"> é Simples/MEI (</w:t>
      </w:r>
      <w:r>
        <w:rPr>
          <w:rFonts w:ascii="Courier New" w:hAnsi="Courier New"/>
          <w:sz w:val="18"/>
        </w:rPr>
        <w:t>RegimeTributario.SimplesNacional &amp;&amp; EhMei</w:t>
      </w:r>
      <w:r>
        <w:t xml:space="preserve">). Implementada </w:t>
      </w:r>
      <w:r>
        <w:rPr>
          <w:b/>
        </w:rPr>
        <w:t>por texto</w:t>
      </w:r>
      <w:r>
        <w:t>; o id funcional 16</w:t>
      </w:r>
    </w:p>
    <w:p>
      <w:r>
        <w:t xml:space="preserve">   é diferido (D-6, regra fiscal — ver §6).</w:t>
      </w:r>
    </w:p>
    <w:p>
      <w:pPr>
        <w:pStyle w:val="ListNumber"/>
      </w:pPr>
      <w:r>
        <w:rPr>
          <w:b/>
        </w:rPr>
        <w:t>Cache por request (REG-070).</w:t>
      </w:r>
      <w:r>
        <w:t xml:space="preserve"> </w:t>
      </w:r>
      <w:r>
        <w:rPr>
          <w:rFonts w:ascii="Courier New" w:hAnsi="Courier New"/>
          <w:sz w:val="18"/>
        </w:rPr>
        <w:t>ICapacidadesEfetivasService</w:t>
      </w:r>
      <w:r>
        <w:t xml:space="preserve"> é </w:t>
      </w:r>
      <w:r>
        <w:rPr>
          <w:b/>
        </w:rPr>
        <w:t>Scoped</w:t>
      </w:r>
      <w:r>
        <w:t xml:space="preserve"> e memoiza por </w:t>
      </w:r>
      <w:r>
        <w:rPr>
          <w:rFonts w:ascii="Courier New" w:hAnsi="Courier New"/>
          <w:sz w:val="18"/>
        </w:rPr>
        <w:t>(usuário, empresa)</w:t>
      </w:r>
    </w:p>
    <w:p>
      <w:r>
        <w:t xml:space="preserve">   (</w:t>
      </w:r>
      <w:r>
        <w:rPr>
          <w:rFonts w:ascii="Courier New" w:hAnsi="Courier New"/>
          <w:sz w:val="18"/>
        </w:rPr>
        <w:t>CapacidadesEfetivasService.cs:56,65-67,122</w:t>
      </w:r>
      <w:r>
        <w:t>) — gate e menu não refazem a query N vezes no mesmo request.</w:t>
      </w:r>
    </w:p>
    <w:p>
      <w:pPr>
        <w:pStyle w:val="ListNumber"/>
      </w:pPr>
      <w:r>
        <w:rPr>
          <w:b/>
        </w:rPr>
        <w:t>Modelo legado ainda vivo (não autoritativo).</w:t>
      </w:r>
      <w:r>
        <w:t xml:space="preserve"> </w:t>
      </w:r>
      <w:r>
        <w:rPr>
          <w:rFonts w:ascii="Courier New" w:hAnsi="Courier New"/>
          <w:sz w:val="18"/>
        </w:rPr>
        <w:t>ObterAcessosSessaoQueryHandler</w:t>
      </w:r>
      <w:r>
        <w:t xml:space="preserve"> (</w:t>
      </w:r>
      <w:r>
        <w:rPr>
          <w:rFonts w:ascii="Courier New" w:hAnsi="Courier New"/>
          <w:sz w:val="18"/>
        </w:rPr>
        <w:t>:308-603</w:t>
      </w:r>
      <w:r>
        <w:t>) monta a árvore a partir</w:t>
      </w:r>
    </w:p>
    <w:p>
      <w:r>
        <w:t xml:space="preserve">   de </w:t>
      </w:r>
      <w:r>
        <w:rPr>
          <w:rFonts w:ascii="Courier New" w:hAnsi="Courier New"/>
          <w:sz w:val="18"/>
        </w:rPr>
        <w:t>PerfilAcessoMenu</w:t>
      </w:r>
      <w:r>
        <w:t xml:space="preserve"> (flag </w:t>
      </w:r>
      <w:r>
        <w:rPr>
          <w:rFonts w:ascii="Courier New" w:hAnsi="Courier New"/>
          <w:sz w:val="18"/>
        </w:rPr>
        <w:t>Ver</w:t>
      </w:r>
      <w:r>
        <w:t xml:space="preserve">) com bypass </w:t>
      </w:r>
      <w:r>
        <w:rPr>
          <w:rFonts w:ascii="Courier New" w:hAnsi="Courier New"/>
          <w:sz w:val="18"/>
        </w:rPr>
        <w:t>vinculo.EhAdmin</w:t>
      </w:r>
      <w:r>
        <w:t xml:space="preserve"> e cache </w:t>
      </w:r>
      <w:r>
        <w:rPr>
          <w:rFonts w:ascii="Courier New" w:hAnsi="Courier New"/>
          <w:sz w:val="18"/>
        </w:rPr>
        <w:t>IPermissaoCacheManager</w:t>
      </w:r>
      <w:r>
        <w:t>; usado pela sessão/token,</w:t>
      </w:r>
    </w:p>
    <w:p>
      <w:r>
        <w:t xml:space="preserve">   </w:t>
      </w:r>
      <w:r>
        <w:rPr>
          <w:b/>
        </w:rPr>
        <w:t>não</w:t>
      </w:r>
      <w:r>
        <w:t xml:space="preserve"> decide autorização de API. </w:t>
      </w:r>
      <w:r>
        <w:rPr>
          <w:rFonts w:ascii="Courier New" w:hAnsi="Courier New"/>
          <w:sz w:val="18"/>
        </w:rPr>
        <w:t>PerfilAcesso.Descricao</w:t>
      </w:r>
      <w:r>
        <w:t xml:space="preserve"> valida </w:t>
      </w:r>
      <w:r>
        <w:rPr>
          <w:b/>
        </w:rPr>
        <w:t>máx 100</w:t>
      </w:r>
      <w:r>
        <w:t xml:space="preserve"> (</w:t>
      </w:r>
      <w:r>
        <w:rPr>
          <w:rFonts w:ascii="Courier New" w:hAnsi="Courier New"/>
          <w:sz w:val="18"/>
        </w:rPr>
        <w:t>PerfilAcesso.cs:23</w:t>
      </w:r>
      <w:r>
        <w:t>) — resolve REG-033.</w:t>
      </w:r>
    </w:p>
    <w:p>
      <w:pPr>
        <w:pStyle w:val="ListNumber"/>
      </w:pPr>
      <w:r>
        <w:rPr>
          <w:b/>
        </w:rPr>
        <w:t>Bloqueio SaaS por inadimplência.</w:t>
      </w:r>
      <w:r>
        <w:t xml:space="preserve"> No fluxo de sessão legado, fatura não paga vencida há &gt;15 dias corridos retorna</w:t>
      </w:r>
    </w:p>
    <w:p>
      <w:r>
        <w:t xml:space="preserve">   </w:t>
      </w:r>
      <w:r>
        <w:rPr>
          <w:rFonts w:ascii="Courier New" w:hAnsi="Courier New"/>
          <w:sz w:val="18"/>
        </w:rPr>
        <w:t>block:true</w:t>
      </w:r>
      <w:r>
        <w:t xml:space="preserve"> (</w:t>
      </w:r>
      <w:r>
        <w:rPr>
          <w:rFonts w:ascii="Courier New" w:hAnsi="Courier New"/>
          <w:sz w:val="18"/>
        </w:rPr>
        <w:t>ObterAcessosSessaoQueryHandler</w:t>
      </w:r>
      <w:r>
        <w:t xml:space="preserve"> </w:t>
      </w:r>
      <w:r>
        <w:rPr>
          <w:rFonts w:ascii="Courier New" w:hAnsi="Courier New"/>
          <w:sz w:val="18"/>
        </w:rPr>
        <w:t>MenusQueryHandlers.cs:353-365</w:t>
      </w:r>
      <w:r>
        <w:t>).</w:t>
      </w:r>
    </w:p>
    <w:p>
      <w:pPr>
        <w:pStyle w:val="ListNumber"/>
      </w:pPr>
      <w:r>
        <w:rPr>
          <w:b/>
        </w:rPr>
        <w:t>CRUD do catálogo e do perfil sob gate.</w:t>
      </w:r>
      <w:r>
        <w:t xml:space="preserve"> </w:t>
      </w:r>
      <w:r>
        <w:rPr>
          <w:rFonts w:ascii="Courier New" w:hAnsi="Courier New"/>
          <w:sz w:val="18"/>
        </w:rPr>
        <w:t>CatalogoMenuController</w:t>
      </w:r>
      <w:r>
        <w:t xml:space="preserve"> protege criar/editar/excluir com</w:t>
      </w:r>
    </w:p>
    <w:p>
      <w:r>
        <w:t xml:space="preserve">    </w:t>
      </w:r>
      <w:r>
        <w:rPr>
          <w:rFonts w:ascii="Courier New" w:hAnsi="Courier New"/>
          <w:sz w:val="18"/>
        </w:rPr>
        <w:t>[AbacAuthorize("Menu", …)]</w:t>
      </w:r>
      <w:r>
        <w:t xml:space="preserve">; </w:t>
      </w:r>
      <w:r>
        <w:rPr>
          <w:rFonts w:ascii="Courier New" w:hAnsi="Courier New"/>
          <w:sz w:val="18"/>
        </w:rPr>
        <w:t>PerfisAcessoController</w:t>
      </w:r>
      <w:r>
        <w:t xml:space="preserve"> com </w:t>
      </w:r>
      <w:r>
        <w:rPr>
          <w:rFonts w:ascii="Courier New" w:hAnsi="Courier New"/>
          <w:sz w:val="18"/>
        </w:rPr>
        <w:t>[AbacAuthorize("PerfilAcesso", …)]</w:t>
      </w:r>
      <w:r>
        <w:t>. Os construtores de</w:t>
      </w:r>
    </w:p>
    <w:p>
      <w:r>
        <w:t xml:space="preserve">    catálogo aceitam </w:t>
      </w:r>
      <w:r>
        <w:rPr>
          <w:rFonts w:ascii="Courier New" w:hAnsi="Courier New"/>
          <w:sz w:val="18"/>
        </w:rPr>
        <w:t>capacidadeRequerida</w:t>
      </w:r>
      <w:r>
        <w:t xml:space="preserve"> (normalizada em minúsculas, </w:t>
      </w:r>
      <w:r>
        <w:rPr>
          <w:rFonts w:ascii="Courier New" w:hAnsi="Courier New"/>
          <w:sz w:val="18"/>
        </w:rPr>
        <w:t>Menu.cs:56-57</w:t>
      </w:r>
      <w:r>
        <w:t>).</w:t>
      </w:r>
    </w:p>
    <w:p>
      <w:pPr>
        <w:pStyle w:val="Heading2"/>
      </w:pPr>
      <w:r>
        <w:t>5. Relações com outros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Módulo vizinho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Relação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USUARIOS_E_PAPEIS / RBAC 1.09 (1.11)</w:t>
            </w:r>
          </w:p>
        </w:tc>
        <w:tc>
          <w:tcPr>
            <w:tcW w:type="dxa" w:w="4320"/>
          </w:tcPr>
          <w:p>
            <w:r>
              <w:t xml:space="preserve">Fonte da autorização: </w:t>
            </w:r>
            <w:r>
              <w:rPr>
                <w:rFonts w:ascii="Courier New" w:hAnsi="Courier New"/>
                <w:sz w:val="18"/>
              </w:rPr>
              <w:t>Capacidade</w:t>
            </w:r>
            <w:r>
              <w:t>/</w:t>
            </w:r>
            <w:r>
              <w:rPr>
                <w:rFonts w:ascii="Courier New" w:hAnsi="Courier New"/>
                <w:sz w:val="18"/>
              </w:rPr>
              <w:t>Papel</w:t>
            </w:r>
            <w:r>
              <w:t>/</w:t>
            </w:r>
            <w:r>
              <w:rPr>
                <w:rFonts w:ascii="Courier New" w:hAnsi="Courier New"/>
                <w:sz w:val="18"/>
              </w:rPr>
              <w:t>UsuarioPapel</w:t>
            </w:r>
            <w:r>
              <w:t>/</w:t>
            </w:r>
            <w:r>
              <w:rPr>
                <w:rFonts w:ascii="Courier New" w:hAnsi="Courier New"/>
                <w:sz w:val="18"/>
              </w:rPr>
              <w:t>UsuarioCapacidade</w:t>
            </w:r>
            <w:r>
              <w:t xml:space="preserve"> alimentam </w:t>
            </w:r>
            <w:r>
              <w:rPr>
                <w:rFonts w:ascii="Courier New" w:hAnsi="Courier New"/>
                <w:sz w:val="18"/>
              </w:rPr>
              <w:t>CapacidadesEfetivasService</w:t>
            </w:r>
            <w:r>
              <w:t>; menu é projeção dessas capacidades.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LIMITES_DE_PLANO (1.06)</w:t>
            </w:r>
          </w:p>
        </w:tc>
        <w:tc>
          <w:tcPr>
            <w:tcW w:type="dxa" w:w="4320"/>
          </w:tcPr>
          <w:p>
            <w:r>
              <w:t xml:space="preserve">Entitlement: </w:t>
            </w:r>
            <w:r>
              <w:rPr>
                <w:rFonts w:ascii="Courier New" w:hAnsi="Courier New"/>
                <w:sz w:val="18"/>
              </w:rPr>
              <w:t>plano.Modulos</w:t>
            </w:r>
            <w:r>
              <w:t xml:space="preserve"> filtra os nós do menu por módulo contratado (</w:t>
            </w:r>
            <w:r>
              <w:rPr>
                <w:rFonts w:ascii="Courier New" w:hAnsi="Courier New"/>
                <w:sz w:val="18"/>
              </w:rPr>
              <w:t>ObterMenuDoUsuarioQueryHandler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ASSINATURA_E_PLANOS (1.01) / COBRANCA SaaS</w:t>
            </w:r>
          </w:p>
        </w:tc>
        <w:tc>
          <w:tcPr>
            <w:tcW w:type="dxa" w:w="4320"/>
          </w:tcPr>
          <w:p>
            <w:r>
              <w:t>Bloqueio por inadimplência (fatura &gt;15 dias) na árvore de sessão legada.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IDENTIDADE_E_CONTEXTO_TENANT (1.04)</w:t>
            </w:r>
          </w:p>
        </w:tc>
        <w:tc>
          <w:tcPr>
            <w:tcW w:type="dxa" w:w="4320"/>
          </w:tcPr>
          <w:p>
            <w:r>
              <w:t xml:space="preserve">Empresa corrente e tenant vêm do token completo (claim </w:t>
            </w:r>
            <w:r>
              <w:rPr>
                <w:rFonts w:ascii="Courier New" w:hAnsi="Courier New"/>
                <w:sz w:val="18"/>
              </w:rPr>
              <w:t>empresaId</w:t>
            </w:r>
            <w:r>
              <w:t>); menu é por empresa.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OPERACAO_SUPER_ADMIN (1.11)</w:t>
            </w:r>
          </w:p>
        </w:tc>
        <w:tc>
          <w:tcPr>
            <w:tcW w:type="dxa" w:w="4320"/>
          </w:tcPr>
          <w:p>
            <w:r>
              <w:t>Operador interno (</w:t>
            </w:r>
            <w:r>
              <w:rPr>
                <w:rFonts w:ascii="Courier New" w:hAnsi="Courier New"/>
                <w:sz w:val="18"/>
              </w:rPr>
              <w:t>tenant=system</w:t>
            </w:r>
            <w:r>
              <w:t>+</w:t>
            </w:r>
            <w:r>
              <w:rPr>
                <w:rFonts w:ascii="Courier New" w:hAnsi="Courier New"/>
                <w:sz w:val="18"/>
              </w:rPr>
              <w:t>perfilId=interno</w:t>
            </w:r>
            <w:r>
              <w:t xml:space="preserve">) segue o curto-circuito próprio no </w:t>
            </w:r>
            <w:r>
              <w:rPr>
                <w:rFonts w:ascii="Courier New" w:hAnsi="Courier New"/>
                <w:sz w:val="18"/>
              </w:rPr>
              <w:t>AbacFilter</w:t>
            </w:r>
            <w:r>
              <w:t>, fora da projeção de tenant.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Fiscal (Negócio-acumulado)</w:t>
            </w:r>
          </w:p>
        </w:tc>
        <w:tc>
          <w:tcPr>
            <w:tcW w:type="dxa" w:w="4320"/>
          </w:tcPr>
          <w:p>
            <w:r>
              <w:t>Ocultação MEI depende de regra fiscal do regime (id funcional 16), diferida para validação.</w:t>
            </w:r>
          </w:p>
        </w:tc>
      </w:tr>
    </w:tbl>
    <w:p/>
    <w:p>
      <w:pPr>
        <w:pStyle w:val="Heading2"/>
      </w:pPr>
      <w:r>
        <w:t>6. O que NÃO está pronto (ver MC + tracker)</w:t>
      </w:r>
    </w:p>
    <w:p>
      <w:pPr>
        <w:pStyle w:val="ListBullet"/>
      </w:pPr>
      <w:r>
        <w:rPr>
          <w:b/>
        </w:rPr>
        <w:t>Semear `CapacidadeRequerida` no catálogo real</w:t>
      </w:r>
      <w:r>
        <w:t xml:space="preserve"> (ver </w:t>
      </w:r>
      <w:r>
        <w:rPr>
          <w:rFonts w:ascii="Courier New" w:hAnsi="Courier New"/>
          <w:sz w:val="18"/>
        </w:rPr>
        <w:t>DECISOES_IMPLANTACAO_V1.md</w:t>
      </w:r>
      <w:r>
        <w:t xml:space="preserve"> "Diferido/roteado"): o mecanismo está</w:t>
      </w:r>
    </w:p>
    <w:p>
      <w:r>
        <w:t xml:space="preserve">  pronto, mas os itens de menu em produção ainda </w:t>
      </w:r>
      <w:r>
        <w:rPr>
          <w:b/>
        </w:rPr>
        <w:t>não têm</w:t>
      </w:r>
      <w:r>
        <w:t xml:space="preserve"> a capacidade preenchida. Enquanto vazio, </w:t>
      </w:r>
      <w:r>
        <w:rPr>
          <w:rFonts w:ascii="Courier New" w:hAnsi="Courier New"/>
          <w:sz w:val="18"/>
        </w:rPr>
        <w:t>GET /menu</w:t>
      </w:r>
      <w:r>
        <w:t xml:space="preserve"> retorna</w:t>
      </w:r>
    </w:p>
    <w:p>
      <w:r>
        <w:t xml:space="preserve">  poucos/nenhum item e o front usa fallback estático. Próximo passo: seeder item→capacidade ou preenchimento via CRUD.</w:t>
      </w:r>
    </w:p>
    <w:p>
      <w:pPr>
        <w:pStyle w:val="ListBullet"/>
      </w:pPr>
      <w:r>
        <w:rPr>
          <w:b/>
        </w:rPr>
        <w:t>Front (LC-3) — best-effort:</w:t>
      </w:r>
      <w:r>
        <w:t xml:space="preserve"> </w:t>
      </w:r>
      <w:r>
        <w:rPr>
          <w:rFonts w:ascii="Courier New" w:hAnsi="Courier New"/>
          <w:sz w:val="18"/>
        </w:rPr>
        <w:t>composables/useMenu.ts</w:t>
      </w:r>
      <w:r>
        <w:t xml:space="preserve"> + </w:t>
      </w:r>
      <w:r>
        <w:rPr>
          <w:rFonts w:ascii="Courier New" w:hAnsi="Courier New"/>
          <w:sz w:val="18"/>
        </w:rPr>
        <w:t>AppSidebar.vue</w:t>
      </w:r>
      <w:r>
        <w:t xml:space="preserve"> consomem </w:t>
      </w:r>
      <w:r>
        <w:rPr>
          <w:rFonts w:ascii="Courier New" w:hAnsi="Courier New"/>
          <w:sz w:val="18"/>
        </w:rPr>
        <w:t>GET /api/v1/menu</w:t>
      </w:r>
      <w:r>
        <w:t xml:space="preserve"> com fallback ao</w:t>
      </w:r>
    </w:p>
    <w:p>
      <w:r>
        <w:t xml:space="preserve">  </w:t>
      </w:r>
      <w:r>
        <w:rPr>
          <w:rFonts w:ascii="Courier New" w:hAnsi="Courier New"/>
          <w:sz w:val="18"/>
        </w:rPr>
        <w:t>erpMenu</w:t>
      </w:r>
      <w:r>
        <w:t xml:space="preserve"> estático; </w:t>
      </w:r>
      <w:r>
        <w:rPr>
          <w:b/>
        </w:rPr>
        <w:t>build Nuxt pendente de ambiente</w:t>
      </w:r>
      <w:r>
        <w:t xml:space="preserve"> (sem </w:t>
      </w:r>
      <w:r>
        <w:rPr>
          <w:rFonts w:ascii="Courier New" w:hAnsi="Courier New"/>
          <w:sz w:val="18"/>
        </w:rPr>
        <w:t>node</w:t>
      </w:r>
      <w:r>
        <w:t xml:space="preserve"> na máquina). Ver MC.</w:t>
      </w:r>
    </w:p>
    <w:p>
      <w:pPr>
        <w:pStyle w:val="ListBullet"/>
      </w:pPr>
      <w:r>
        <w:rPr>
          <w:b/>
        </w:rPr>
        <w:t>D-6 — Ocultação MEI por id funcional 16 (regra FISCAL):</w:t>
      </w:r>
      <w:r>
        <w:t xml:space="preserve"> mantida por texto; </w:t>
      </w:r>
      <w:r>
        <w:rPr>
          <w:b/>
        </w:rPr>
        <w:t>requer contador/validação de domínio</w:t>
      </w:r>
    </w:p>
    <w:p>
      <w:r>
        <w:t xml:space="preserve">  (id fixo? flag na empresa? outros regimes) antes de fechar — não reimplementada (CLAUDE.md Regra #0).</w:t>
      </w:r>
    </w:p>
    <w:p>
      <w:pPr>
        <w:pStyle w:val="ListBullet"/>
      </w:pPr>
      <w:r>
        <w:rPr>
          <w:b/>
        </w:rPr>
        <w:t>Modelo legado a aposentar:</w:t>
      </w:r>
      <w:r>
        <w:t xml:space="preserve"> </w:t>
      </w:r>
      <w:r>
        <w:rPr>
          <w:rFonts w:ascii="Courier New" w:hAnsi="Courier New"/>
          <w:sz w:val="18"/>
        </w:rPr>
        <w:t>PerfilAcesso</w:t>
      </w:r>
      <w:r>
        <w:t>/</w:t>
      </w:r>
      <w:r>
        <w:rPr>
          <w:rFonts w:ascii="Courier New" w:hAnsi="Courier New"/>
          <w:sz w:val="18"/>
        </w:rPr>
        <w:t>PerfilAcessoMenu</w:t>
      </w:r>
      <w:r>
        <w:t xml:space="preserve"> e telas de perfil (</w:t>
      </w:r>
      <w:r>
        <w:rPr>
          <w:rFonts w:ascii="Courier New" w:hAnsi="Courier New"/>
          <w:sz w:val="18"/>
        </w:rPr>
        <w:t>perfis/[id].vue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PerfisAcessoTab.vue</w:t>
      </w:r>
      <w:r>
        <w:t xml:space="preserve">) seguem desalinhados (LC-6); </w:t>
      </w:r>
      <w:r>
        <w:rPr>
          <w:rFonts w:ascii="Courier New" w:hAnsi="Courier New"/>
          <w:sz w:val="18"/>
        </w:rPr>
        <w:t>PermissaoMenuFilter</w:t>
      </w:r>
      <w:r>
        <w:t xml:space="preserve"> está morto (0 usos). Decidir remoção — ver MC.</w:t>
      </w:r>
    </w:p>
    <w:p>
      <w:pPr>
        <w:pStyle w:val="ListBullet"/>
      </w:pPr>
      <w:r>
        <w:rPr>
          <w:b/>
        </w:rPr>
        <w:t>Constraints/governança da MC (P0):</w:t>
      </w:r>
      <w:r>
        <w:t xml:space="preserve"> unicidade de </w:t>
      </w:r>
      <w:r>
        <w:rPr>
          <w:rFonts w:ascii="Courier New" w:hAnsi="Courier New"/>
          <w:sz w:val="18"/>
        </w:rPr>
        <w:t>perfil_usuario_acesso</w:t>
      </w:r>
      <w:r>
        <w:t>, invalidação de cache ao alterar papel/perfil,</w:t>
      </w:r>
    </w:p>
    <w:p>
      <w:r>
        <w:t xml:space="preserve">  auditoria de bypass admin, política de senha/recuperação. Ver </w:t>
      </w:r>
      <w:r>
        <w:rPr>
          <w:rFonts w:ascii="Courier New" w:hAnsi="Courier New"/>
          <w:sz w:val="18"/>
        </w:rPr>
        <w:t>MC_..._V1.md</w:t>
      </w:r>
      <w:r>
        <w:t xml:space="preserve"> §3.</w:t>
      </w:r>
    </w:p>
    <w:p>
      <w:pPr>
        <w:pStyle w:val="Heading2"/>
      </w:pPr>
      <w:r>
        <w:t>7. Rastreabilidade</w:t>
      </w:r>
    </w:p>
    <w:p>
      <w:r>
        <w:t>EF (</w:t>
      </w:r>
      <w:r>
        <w:rPr>
          <w:rFonts w:ascii="Courier New" w:hAnsi="Courier New"/>
          <w:sz w:val="18"/>
        </w:rPr>
        <w:t>EF_0_APLICATIVO_PERMISSOES_DE_MENU_V1.md</w:t>
      </w:r>
      <w:r>
        <w:t xml:space="preserve"> — contrato; §6.6/§9 superadas pelo modelo RBAC) ·</w:t>
      </w:r>
    </w:p>
    <w:p>
      <w:r>
        <w:t>MC (</w:t>
      </w:r>
      <w:r>
        <w:rPr>
          <w:rFonts w:ascii="Courier New" w:hAnsi="Courier New"/>
          <w:sz w:val="18"/>
        </w:rPr>
        <w:t>MC_..._V1.md</w:t>
      </w:r>
      <w:r>
        <w:t xml:space="preserve"> — matriz de completude + P0) ·</w:t>
      </w:r>
    </w:p>
    <w:p>
      <w:r>
        <w:t xml:space="preserve">VERIFICACAO_IMPLEMENTACAO_V1 (LC-1..LC-6, matriz campo×código, HEAD </w:t>
      </w:r>
      <w:r>
        <w:rPr>
          <w:rFonts w:ascii="Courier New" w:hAnsi="Courier New"/>
          <w:sz w:val="18"/>
        </w:rPr>
        <w:t>90baf1b</w:t>
      </w:r>
      <w:r>
        <w:t>) ·</w:t>
      </w:r>
    </w:p>
    <w:p>
      <w:r>
        <w:t xml:space="preserve">DECISOES_IMPLANTACAO_V1 (decisão-mãe: menu por capacidade; itens 1-6; furo IsAdmin fechado; testes </w:t>
      </w:r>
      <w:r>
        <w:rPr>
          <w:rFonts w:ascii="Courier New" w:hAnsi="Courier New"/>
          <w:sz w:val="18"/>
        </w:rPr>
        <w:t>MenuPorCapacidade110Tests.cs</w:t>
      </w:r>
      <w:r>
        <w:t xml:space="preserve"> 5 casos) ·</w:t>
      </w:r>
    </w:p>
    <w:p>
      <w:r>
        <w:t xml:space="preserve">migration </w:t>
      </w:r>
      <w:r>
        <w:rPr>
          <w:rFonts w:ascii="Courier New" w:hAnsi="Courier New"/>
          <w:sz w:val="18"/>
        </w:rPr>
        <w:t>Implanta_1_10_MenuPorCapacidade</w:t>
      </w:r>
      <w:r>
        <w:t xml:space="preserve"> (+ </w:t>
      </w:r>
      <w:r>
        <w:rPr>
          <w:rFonts w:ascii="Courier New" w:hAnsi="Courier New"/>
          <w:sz w:val="18"/>
        </w:rPr>
        <w:t>AddPermissoesMenu</w:t>
      </w:r>
      <w:r>
        <w:t xml:space="preserve"> base) em </w:t>
      </w:r>
      <w:r>
        <w:rPr>
          <w:rFonts w:ascii="Courier New" w:hAnsi="Courier New"/>
          <w:sz w:val="18"/>
        </w:rPr>
        <w:t>GestaoClientes/Migrations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