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APLICATIVO — Manual Central / Visão 100% do módulo</w:t>
      </w:r>
    </w:p>
    <w:p>
      <w:pPr>
        <w:pStyle w:val="IntenseQuote"/>
      </w:pPr>
      <w:r>
        <w:rPr>
          <w:b/>
        </w:rPr>
        <w:t>O que é:</w:t>
      </w:r>
      <w:r>
        <w:t xml:space="preserve"> o APLICATIVO é a </w:t>
      </w:r>
      <w:r>
        <w:rPr>
          <w:b/>
        </w:rPr>
        <w:t>gestão de clientes / control plane SaaS</w:t>
      </w:r>
      <w:r>
        <w:t xml:space="preserve"> com que a </w:t>
      </w:r>
      <w:r>
        <w:rPr>
          <w:b/>
        </w:rPr>
        <w:t>Siser opera o próprio negócio</w:t>
      </w:r>
      <w:r>
        <w:t xml:space="preserve"> de vender o</w:t>
      </w:r>
    </w:p>
    <w:p>
      <w:pPr>
        <w:pStyle w:val="IntenseQuote"/>
      </w:pPr>
      <w:r>
        <w:t xml:space="preserve">Epros como serviço: cadastrar e manter </w:t>
      </w:r>
      <w:r>
        <w:rPr>
          <w:b/>
        </w:rPr>
        <w:t>tenants (clientes)</w:t>
      </w:r>
      <w:r>
        <w:t xml:space="preserve">, vender </w:t>
      </w:r>
      <w:r>
        <w:rPr>
          <w:b/>
        </w:rPr>
        <w:t>planos</w:t>
      </w:r>
      <w:r>
        <w:t xml:space="preserve">, </w:t>
      </w:r>
      <w:r>
        <w:rPr>
          <w:b/>
        </w:rPr>
        <w:t>cobrar</w:t>
      </w:r>
      <w:r>
        <w:t xml:space="preserve"> a assinatura, controlar </w:t>
      </w:r>
      <w:r>
        <w:rPr>
          <w:b/>
        </w:rPr>
        <w:t>acesso</w:t>
      </w:r>
    </w:p>
    <w:p>
      <w:pPr>
        <w:pStyle w:val="IntenseQuote"/>
      </w:pPr>
      <w:r>
        <w:t xml:space="preserve">(login, papéis, menu), </w:t>
      </w:r>
      <w:r>
        <w:rPr>
          <w:b/>
        </w:rPr>
        <w:t>isolar</w:t>
      </w:r>
      <w:r>
        <w:t xml:space="preserve"> os dados de cada cliente, e </w:t>
      </w:r>
      <w:r>
        <w:rPr>
          <w:b/>
        </w:rPr>
        <w:t>operar/suportar</w:t>
      </w:r>
      <w:r>
        <w:t xml:space="preserve"> a plataforma (Landlord). Não é o ERP que o cliente</w:t>
      </w:r>
    </w:p>
    <w:p>
      <w:pPr>
        <w:pStyle w:val="IntenseQuote"/>
      </w:pPr>
      <w:r>
        <w:t xml:space="preserve">usa — é o painel que </w:t>
      </w:r>
      <w:r>
        <w:rPr>
          <w:b/>
        </w:rPr>
        <w:t>gerencia os clientes</w:t>
      </w:r>
      <w:r>
        <w:t xml:space="preserve"> do ERP.</w:t>
      </w:r>
    </w:p>
    <w:p>
      <w:pPr>
        <w:pStyle w:val="IntenseQuote"/>
      </w:pPr>
    </w:p>
    <w:p>
      <w:pPr>
        <w:pStyle w:val="IntenseQuote"/>
      </w:pPr>
      <w:r>
        <w:rPr>
          <w:b/>
        </w:rPr>
        <w:t>Modelo:</w:t>
      </w:r>
      <w:r>
        <w:t xml:space="preserve"> </w:t>
      </w:r>
      <w:r>
        <w:rPr>
          <w:rFonts w:ascii="Courier New" w:hAnsi="Courier New"/>
          <w:sz w:val="18"/>
        </w:rPr>
        <w:t>Tenant</w:t>
      </w:r>
      <w:r>
        <w:t xml:space="preserve"> (cliente) → tem uma </w:t>
      </w:r>
      <w:r>
        <w:rPr>
          <w:rFonts w:ascii="Courier New" w:hAnsi="Courier New"/>
          <w:sz w:val="18"/>
        </w:rPr>
        <w:t>AssinaturaCliente</w:t>
      </w:r>
      <w:r>
        <w:t xml:space="preserve"> em um </w:t>
      </w:r>
      <w:r>
        <w:rPr>
          <w:rFonts w:ascii="Courier New" w:hAnsi="Courier New"/>
          <w:sz w:val="18"/>
        </w:rPr>
        <w:t>Plano</w:t>
      </w:r>
      <w:r>
        <w:t xml:space="preserve"> → gera </w:t>
      </w:r>
      <w:r>
        <w:rPr>
          <w:rFonts w:ascii="Courier New" w:hAnsi="Courier New"/>
          <w:sz w:val="18"/>
        </w:rPr>
        <w:t>Fatura</w:t>
      </w:r>
      <w:r>
        <w:t xml:space="preserve"> → paga por PIX/cartão/boleto → o</w:t>
      </w:r>
    </w:p>
    <w:p>
      <w:pPr>
        <w:pStyle w:val="IntenseQuote"/>
      </w:pPr>
      <w:r>
        <w:rPr>
          <w:rFonts w:ascii="Courier New" w:hAnsi="Courier New"/>
          <w:sz w:val="18"/>
        </w:rPr>
        <w:t>StatusSaaS</w:t>
      </w:r>
      <w:r>
        <w:t xml:space="preserve"> do tenant (Trial → Ativo → AguardandoPagamento → Cancelado) governa o que ele pode fazer. Pessoas acessam via</w:t>
      </w:r>
    </w:p>
    <w:p>
      <w:pPr>
        <w:pStyle w:val="IntenseQuote"/>
      </w:pPr>
      <w:r>
        <w:t>identidade global + membership N:N no tenant, com papéis (RBAC) que definem capacidades e menu. A Siser opera tudo pela área</w:t>
      </w:r>
    </w:p>
    <w:p>
      <w:pPr>
        <w:pStyle w:val="IntenseQuote"/>
      </w:pPr>
      <w:r>
        <w:t>Landlord.</w:t>
      </w:r>
    </w:p>
    <w:p>
      <w:pPr>
        <w:pStyle w:val="IntenseQuote"/>
      </w:pPr>
    </w:p>
    <w:p>
      <w:pPr>
        <w:pStyle w:val="IntenseQuote"/>
      </w:pPr>
      <w:r>
        <w:rPr>
          <w:b/>
        </w:rPr>
        <w:t>Estado (2026-08-02) — MÓDULO FECHADO DO LADO DO CÓDIGO:</w:t>
      </w:r>
      <w:r>
        <w:t xml:space="preserve"> 11/11 submódulos + </w:t>
      </w:r>
      <w:r>
        <w:rPr>
          <w:b/>
        </w:rPr>
        <w:t>todos os gaps de operação</w:t>
      </w:r>
      <w:r>
        <w:t xml:space="preserve"> (§4) + a</w:t>
      </w:r>
    </w:p>
    <w:p>
      <w:pPr>
        <w:pStyle w:val="IntenseQuote"/>
      </w:pPr>
      <w:r>
        <w:rPr>
          <w:b/>
        </w:rPr>
        <w:t>dívida de código</w:t>
      </w:r>
      <w:r>
        <w:t xml:space="preserve"> (§3a: lock otimista, restore, menu dinâmico) + a </w:t>
      </w:r>
      <w:r>
        <w:rPr>
          <w:b/>
        </w:rPr>
        <w:t>Onda 2</w:t>
      </w:r>
      <w:r>
        <w:t xml:space="preserve"> como mecanismo (receita diferida, comissão,</w:t>
      </w:r>
    </w:p>
    <w:p>
      <w:pPr>
        <w:pStyle w:val="IntenseQuote"/>
      </w:pPr>
      <w:r>
        <w:t xml:space="preserve">NFS-e — com selo </w:t>
      </w:r>
      <w:r>
        <w:rPr>
          <w:i/>
        </w:rPr>
        <w:t>valida-contador</w:t>
      </w:r>
      <w:r>
        <w:t xml:space="preserve">) + </w:t>
      </w:r>
      <w:r>
        <w:rPr>
          <w:b/>
        </w:rPr>
        <w:t>fechamento</w:t>
      </w:r>
      <w:r>
        <w:t xml:space="preserve"> (host-guard Landlord, wiki viva, ERD). </w:t>
      </w:r>
      <w:r>
        <w:rPr>
          <w:b/>
        </w:rPr>
        <w:t>1044 testes</w:t>
      </w:r>
      <w:r>
        <w:t xml:space="preserve"> verdes em Postgres real</w:t>
      </w:r>
    </w:p>
    <w:p>
      <w:pPr>
        <w:pStyle w:val="IntenseQuote"/>
      </w:pPr>
      <w:r>
        <w:t xml:space="preserve">(Testcontainers), branch </w:t>
      </w:r>
      <w:r>
        <w:rPr>
          <w:rFonts w:ascii="Courier New" w:hAnsi="Courier New"/>
          <w:sz w:val="18"/>
        </w:rPr>
        <w:t>pente-fino/aplicativo</w:t>
      </w:r>
      <w:r>
        <w:t xml:space="preserve">, mesclada com </w:t>
      </w:r>
      <w:r>
        <w:rPr>
          <w:rFonts w:ascii="Courier New" w:hAnsi="Courier New"/>
          <w:sz w:val="18"/>
        </w:rPr>
        <w:t>origin/main</w:t>
      </w:r>
      <w:r>
        <w:t xml:space="preserve">. </w:t>
      </w:r>
      <w:r>
        <w:rPr>
          <w:b/>
        </w:rPr>
        <w:t>A MC de código está vazia</w:t>
      </w:r>
      <w:r>
        <w:t xml:space="preserve"> — o que resta são</w:t>
      </w:r>
    </w:p>
    <w:p>
      <w:pPr>
        <w:pStyle w:val="IntenseQuote"/>
      </w:pPr>
      <w:r>
        <w:rPr>
          <w:b/>
        </w:rPr>
        <w:t>dependências externas</w:t>
      </w:r>
      <w:r>
        <w:t xml:space="preserve"> (não-código): ambiente (build Nuxt/node, credencial MP, migrations em banco persistente, NOSUPERUSER,</w:t>
      </w:r>
    </w:p>
    <w:p>
      <w:pPr>
        <w:pStyle w:val="IntenseQuote"/>
      </w:pPr>
      <w:r>
        <w:t xml:space="preserve">Hosts:Landlord, SMTP) e contador (overlay </w:t>
      </w:r>
      <w:r>
        <w:rPr>
          <w:rFonts w:ascii="Courier New" w:hAnsi="Courier New"/>
          <w:sz w:val="18"/>
        </w:rPr>
        <w:t>negocio-siser</w:t>
      </w:r>
      <w:r>
        <w:t>: alíquota NFS-e; parâmetros de proração/comissão). Ver §6.</w:t>
      </w:r>
    </w:p>
    <w:p>
      <w:pPr>
        <w:pStyle w:val="Heading2"/>
      </w:pPr>
      <w:r>
        <w:t>§1 — Mapa dos 11 submódulos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Submódulo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 que faz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Commit / resíduo</w:t>
            </w:r>
          </w:p>
        </w:tc>
      </w:tr>
      <w:tr>
        <w:tc>
          <w:tcPr>
            <w:tcW w:type="dxa" w:w="1728"/>
          </w:tcPr>
          <w:p>
            <w:r>
              <w:t>1.01</w:t>
            </w:r>
          </w:p>
        </w:tc>
        <w:tc>
          <w:tcPr>
            <w:tcW w:type="dxa" w:w="1728"/>
          </w:tcPr>
          <w:p>
            <w:r>
              <w:t>ASSINATURA_E_PLANOS</w:t>
            </w:r>
          </w:p>
        </w:tc>
        <w:tc>
          <w:tcPr>
            <w:tcW w:type="dxa" w:w="1728"/>
          </w:tcPr>
          <w:p>
            <w:r>
              <w:t>Plano híbrido (global+custom), cota por cliente, fatura+itens, enums StatusSaaS/Assinatura</w:t>
            </w:r>
          </w:p>
        </w:tc>
        <w:tc>
          <w:tcPr>
            <w:tcW w:type="dxa" w:w="1728"/>
          </w:tcPr>
          <w:p>
            <w:r>
              <w:t>✅ Feito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>4627295</w:t>
            </w:r>
          </w:p>
        </w:tc>
      </w:tr>
      <w:tr>
        <w:tc>
          <w:tcPr>
            <w:tcW w:type="dxa" w:w="1728"/>
          </w:tcPr>
          <w:p>
            <w:r>
              <w:t>1.02</w:t>
            </w:r>
          </w:p>
        </w:tc>
        <w:tc>
          <w:tcPr>
            <w:tcW w:type="dxa" w:w="1728"/>
          </w:tcPr>
          <w:p>
            <w:r>
              <w:t>CATALOGOS_GLOBAIS_SAAS</w:t>
            </w:r>
          </w:p>
        </w:tc>
        <w:tc>
          <w:tcPr>
            <w:tcW w:type="dxa" w:w="1728"/>
          </w:tcPr>
          <w:p>
            <w:r>
              <w:t>Cupom, moeda, geografia/país (CRUD + telas)</w:t>
            </w:r>
          </w:p>
        </w:tc>
        <w:tc>
          <w:tcPr>
            <w:tcW w:type="dxa" w:w="1728"/>
          </w:tcPr>
          <w:p>
            <w:r>
              <w:t>✅ Feito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>4627295</w:t>
            </w:r>
          </w:p>
        </w:tc>
      </w:tr>
      <w:tr>
        <w:tc>
          <w:tcPr>
            <w:tcW w:type="dxa" w:w="1728"/>
          </w:tcPr>
          <w:p>
            <w:r>
              <w:t>1.03</w:t>
            </w:r>
          </w:p>
        </w:tc>
        <w:tc>
          <w:tcPr>
            <w:tcW w:type="dxa" w:w="1728"/>
          </w:tcPr>
          <w:p>
            <w:r>
              <w:t>DASHBOARD_E_LAYOUT</w:t>
            </w:r>
          </w:p>
        </w:tc>
        <w:tc>
          <w:tcPr>
            <w:tcW w:type="dxa" w:w="1728"/>
          </w:tcPr>
          <w:p>
            <w:r>
              <w:t>Painel operacional do tenant</w:t>
            </w:r>
          </w:p>
        </w:tc>
        <w:tc>
          <w:tcPr>
            <w:tcW w:type="dxa" w:w="1728"/>
          </w:tcPr>
          <w:p>
            <w:r>
              <w:t>✅ Feito (parcial: métricas SaaS de negócio → §4)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>4627295</w:t>
            </w:r>
          </w:p>
        </w:tc>
      </w:tr>
      <w:tr>
        <w:tc>
          <w:tcPr>
            <w:tcW w:type="dxa" w:w="1728"/>
          </w:tcPr>
          <w:p>
            <w:r>
              <w:t>1.04</w:t>
            </w:r>
          </w:p>
        </w:tc>
        <w:tc>
          <w:tcPr>
            <w:tcW w:type="dxa" w:w="1728"/>
          </w:tcPr>
          <w:p>
            <w:r>
              <w:t>IDENTIDADE_E_CONTEXTO_TENANT</w:t>
            </w:r>
          </w:p>
        </w:tc>
        <w:tc>
          <w:tcPr>
            <w:tcW w:type="dxa" w:w="1728"/>
          </w:tcPr>
          <w:p>
            <w:r>
              <w:t>Login, social OAuth, multi-tenant N:N, cards, Landlord+suporte, topologia de acesso</w:t>
            </w:r>
          </w:p>
        </w:tc>
        <w:tc>
          <w:tcPr>
            <w:tcW w:type="dxa" w:w="1728"/>
          </w:tcPr>
          <w:p>
            <w:r>
              <w:t>✅ Feito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>856b562</w:t>
            </w:r>
            <w:r>
              <w:t>+</w:t>
            </w:r>
            <w:r>
              <w:rPr>
                <w:rFonts w:ascii="Courier New" w:hAnsi="Courier New"/>
                <w:sz w:val="18"/>
              </w:rPr>
              <w:t>50f5bca</w:t>
            </w:r>
          </w:p>
        </w:tc>
      </w:tr>
      <w:tr>
        <w:tc>
          <w:tcPr>
            <w:tcW w:type="dxa" w:w="1728"/>
          </w:tcPr>
          <w:p>
            <w:r>
              <w:t>1.05</w:t>
            </w:r>
          </w:p>
        </w:tc>
        <w:tc>
          <w:tcPr>
            <w:tcW w:type="dxa" w:w="1728"/>
          </w:tcPr>
          <w:p>
            <w:r>
              <w:t>ISOLAMENTO_DE_DADOS</w:t>
            </w:r>
          </w:p>
        </w:tc>
        <w:tc>
          <w:tcPr>
            <w:tcW w:type="dxa" w:w="1728"/>
          </w:tcPr>
          <w:p>
            <w:r>
              <w:t xml:space="preserve">RLS multi-tenant, fail-closed, </w:t>
            </w:r>
            <w:r>
              <w:rPr>
                <w:b/>
              </w:rPr>
              <w:t>o "gato" fechado</w:t>
            </w:r>
          </w:p>
        </w:tc>
        <w:tc>
          <w:tcPr>
            <w:tcW w:type="dxa" w:w="1728"/>
          </w:tcPr>
          <w:p>
            <w:r>
              <w:t>✅ Feito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>a20bf61</w:t>
            </w:r>
          </w:p>
        </w:tc>
      </w:tr>
      <w:tr>
        <w:tc>
          <w:tcPr>
            <w:tcW w:type="dxa" w:w="1728"/>
          </w:tcPr>
          <w:p>
            <w:r>
              <w:t>1.06</w:t>
            </w:r>
          </w:p>
        </w:tc>
        <w:tc>
          <w:tcPr>
            <w:tcW w:type="dxa" w:w="1728"/>
          </w:tcPr>
          <w:p>
            <w:r>
              <w:t>LIMITES_DE_PLANO</w:t>
            </w:r>
          </w:p>
        </w:tc>
        <w:tc>
          <w:tcPr>
            <w:tcW w:type="dxa" w:w="1728"/>
          </w:tcPr>
          <w:p>
            <w:r>
              <w:t>Entitlement de módulo real, limites (usuário/empresa/cliente), inadimplência por plano</w:t>
            </w:r>
          </w:p>
        </w:tc>
        <w:tc>
          <w:tcPr>
            <w:tcW w:type="dxa" w:w="1728"/>
          </w:tcPr>
          <w:p>
            <w:r>
              <w:t>✅ Feito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>5c5ed1f</w:t>
            </w:r>
          </w:p>
        </w:tc>
      </w:tr>
      <w:tr>
        <w:tc>
          <w:tcPr>
            <w:tcW w:type="dxa" w:w="1728"/>
          </w:tcPr>
          <w:p>
            <w:r>
              <w:t>1.07</w:t>
            </w:r>
          </w:p>
        </w:tc>
        <w:tc>
          <w:tcPr>
            <w:tcW w:type="dxa" w:w="1728"/>
          </w:tcPr>
          <w:p>
            <w:r>
              <w:t>ONBOARDING_E_EMPRESA</w:t>
            </w:r>
          </w:p>
        </w:tc>
        <w:tc>
          <w:tcPr>
            <w:tcW w:type="dxa" w:w="1728"/>
          </w:tcPr>
          <w:p>
            <w:r>
              <w:t xml:space="preserve">Self-register PF/PJ, </w:t>
            </w:r>
            <w:r>
              <w:rPr>
                <w:b/>
              </w:rPr>
              <w:t>trial automático</w:t>
            </w:r>
            <w:r>
              <w:t>, e-mail boas-vindas, front real</w:t>
            </w:r>
          </w:p>
        </w:tc>
        <w:tc>
          <w:tcPr>
            <w:tcW w:type="dxa" w:w="1728"/>
          </w:tcPr>
          <w:p>
            <w:r>
              <w:t>✅ Feito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>de1244c</w:t>
            </w:r>
          </w:p>
        </w:tc>
      </w:tr>
      <w:tr>
        <w:tc>
          <w:tcPr>
            <w:tcW w:type="dxa" w:w="1728"/>
          </w:tcPr>
          <w:p>
            <w:r>
              <w:t>1.08</w:t>
            </w:r>
          </w:p>
        </w:tc>
        <w:tc>
          <w:tcPr>
            <w:tcW w:type="dxa" w:w="1728"/>
          </w:tcPr>
          <w:p>
            <w:r>
              <w:t>PEDIDOS_E_COBRANCA_SAAS</w:t>
            </w:r>
          </w:p>
        </w:tc>
        <w:tc>
          <w:tcPr>
            <w:tcW w:type="dxa" w:w="1728"/>
          </w:tcPr>
          <w:p>
            <w:r>
              <w:t>Webhook MP corrigido, PIX/cartão/boleto, recorrência, recibo</w:t>
            </w:r>
          </w:p>
        </w:tc>
        <w:tc>
          <w:tcPr>
            <w:tcW w:type="dxa" w:w="1728"/>
          </w:tcPr>
          <w:p>
            <w:r>
              <w:t>✅ Feito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>a629dad</w:t>
            </w:r>
            <w:r>
              <w:t>+</w:t>
            </w:r>
            <w:r>
              <w:rPr>
                <w:rFonts w:ascii="Courier New" w:hAnsi="Courier New"/>
                <w:sz w:val="18"/>
              </w:rPr>
              <w:t>b2436c4</w:t>
            </w:r>
          </w:p>
        </w:tc>
      </w:tr>
      <w:tr>
        <w:tc>
          <w:tcPr>
            <w:tcW w:type="dxa" w:w="1728"/>
          </w:tcPr>
          <w:p>
            <w:r>
              <w:t>1.09</w:t>
            </w:r>
          </w:p>
        </w:tc>
        <w:tc>
          <w:tcPr>
            <w:tcW w:type="dxa" w:w="1728"/>
          </w:tcPr>
          <w:p>
            <w:r>
              <w:t>USUARIOS_E_PAPEIS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RBAC unificado</w:t>
            </w:r>
            <w:r>
              <w:t xml:space="preserve"> (Papel+Capacidade), papel por empresa, conserta admin travado</w:t>
            </w:r>
          </w:p>
        </w:tc>
        <w:tc>
          <w:tcPr>
            <w:tcW w:type="dxa" w:w="1728"/>
          </w:tcPr>
          <w:p>
            <w:r>
              <w:t>✅ Feito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>90baf1b</w:t>
            </w:r>
          </w:p>
        </w:tc>
      </w:tr>
      <w:tr>
        <w:tc>
          <w:tcPr>
            <w:tcW w:type="dxa" w:w="1728"/>
          </w:tcPr>
          <w:p>
            <w:r>
              <w:t>1.10</w:t>
            </w:r>
          </w:p>
        </w:tc>
        <w:tc>
          <w:tcPr>
            <w:tcW w:type="dxa" w:w="1728"/>
          </w:tcPr>
          <w:p>
            <w:r>
              <w:t>PERMISSOES_DE_MENU</w:t>
            </w:r>
          </w:p>
        </w:tc>
        <w:tc>
          <w:tcPr>
            <w:tcW w:type="dxa" w:w="1728"/>
          </w:tcPr>
          <w:p>
            <w:r>
              <w:t>Menu = projeção das capacidades (fonte única c/ AbacFilter), furo IsAdmin fechado</w:t>
            </w:r>
          </w:p>
        </w:tc>
        <w:tc>
          <w:tcPr>
            <w:tcW w:type="dxa" w:w="1728"/>
          </w:tcPr>
          <w:p>
            <w:r>
              <w:t>✅ Feito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>f2be50e</w:t>
            </w:r>
          </w:p>
        </w:tc>
      </w:tr>
      <w:tr>
        <w:tc>
          <w:tcPr>
            <w:tcW w:type="dxa" w:w="1728"/>
          </w:tcPr>
          <w:p>
            <w:r>
              <w:t>1.11</w:t>
            </w:r>
          </w:p>
        </w:tc>
        <w:tc>
          <w:tcPr>
            <w:tcW w:type="dxa" w:w="1728"/>
          </w:tcPr>
          <w:p>
            <w:r>
              <w:t>OPERACAO_SUPER_ADMIN</w:t>
            </w:r>
          </w:p>
        </w:tc>
        <w:tc>
          <w:tcPr>
            <w:tcW w:type="dxa" w:w="1728"/>
          </w:tcPr>
          <w:p>
            <w:r>
              <w:t>Fixes de segurança super-admin, perfis de suporte diferenciados, wizard</w:t>
            </w:r>
          </w:p>
        </w:tc>
        <w:tc>
          <w:tcPr>
            <w:tcW w:type="dxa" w:w="1728"/>
          </w:tcPr>
          <w:p>
            <w:r>
              <w:t>✅ Feito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>9c0782d</w:t>
            </w:r>
          </w:p>
        </w:tc>
      </w:tr>
    </w:tbl>
    <w:p/>
    <w:p>
      <w:r>
        <w:rPr>
          <w:b/>
        </w:rPr>
        <w:t>Fechamento (pós-11 submódulos):</w:t>
      </w:r>
      <w:r>
        <w:t xml:space="preserve"> dunning </w:t>
      </w:r>
      <w:r>
        <w:rPr>
          <w:rFonts w:ascii="Courier New" w:hAnsi="Courier New"/>
          <w:sz w:val="18"/>
        </w:rPr>
        <w:t>4ee17e8</w:t>
      </w:r>
      <w:r>
        <w:t xml:space="preserve"> · mudança/cancel de plano </w:t>
      </w:r>
      <w:r>
        <w:rPr>
          <w:rFonts w:ascii="Courier New" w:hAnsi="Courier New"/>
          <w:sz w:val="18"/>
        </w:rPr>
        <w:t>58ea2ae</w:t>
      </w:r>
      <w:r>
        <w:t xml:space="preserve"> · cupom recorrente+refund </w:t>
      </w:r>
      <w:r>
        <w:rPr>
          <w:rFonts w:ascii="Courier New" w:hAnsi="Courier New"/>
          <w:sz w:val="18"/>
        </w:rPr>
        <w:t>2c6c906</w:t>
      </w:r>
      <w:r>
        <w:t xml:space="preserve"> · PDF </w:t>
      </w:r>
      <w:r>
        <w:rPr>
          <w:rFonts w:ascii="Courier New" w:hAnsi="Courier New"/>
          <w:sz w:val="18"/>
        </w:rPr>
        <w:t>5c720c7</w:t>
      </w:r>
      <w:r>
        <w:t xml:space="preserve"> · métricas+relatórios </w:t>
      </w:r>
      <w:r>
        <w:rPr>
          <w:rFonts w:ascii="Courier New" w:hAnsi="Courier New"/>
          <w:sz w:val="18"/>
        </w:rPr>
        <w:t>4d64dff</w:t>
      </w:r>
      <w:r>
        <w:t xml:space="preserve"> · lock/restore/menu </w:t>
      </w:r>
      <w:r>
        <w:rPr>
          <w:rFonts w:ascii="Courier New" w:hAnsi="Courier New"/>
          <w:sz w:val="18"/>
        </w:rPr>
        <w:t>bd89018</w:t>
      </w:r>
      <w:r>
        <w:t xml:space="preserve"> · receita diferida+comissão </w:t>
      </w:r>
      <w:r>
        <w:rPr>
          <w:rFonts w:ascii="Courier New" w:hAnsi="Courier New"/>
          <w:sz w:val="18"/>
        </w:rPr>
        <w:t>ce5b9d2</w:t>
      </w:r>
      <w:r>
        <w:t xml:space="preserve"> · host-guard </w:t>
      </w:r>
      <w:r>
        <w:rPr>
          <w:rFonts w:ascii="Courier New" w:hAnsi="Courier New"/>
          <w:sz w:val="18"/>
        </w:rPr>
        <w:t>866743b</w:t>
      </w:r>
      <w:r>
        <w:t xml:space="preserve"> · NFS-e hook </w:t>
      </w:r>
      <w:r>
        <w:rPr>
          <w:rFonts w:ascii="Courier New" w:hAnsi="Courier New"/>
          <w:sz w:val="18"/>
        </w:rPr>
        <w:t>43e2dce</w:t>
      </w:r>
      <w:r>
        <w:t xml:space="preserve"> · wiki </w:t>
      </w:r>
      <w:r>
        <w:rPr>
          <w:rFonts w:ascii="Courier New" w:hAnsi="Courier New"/>
          <w:sz w:val="18"/>
        </w:rPr>
        <w:t>e10f0d0</w:t>
      </w:r>
      <w:r>
        <w:t xml:space="preserve"> · merge origin/main </w:t>
      </w:r>
      <w:r>
        <w:rPr>
          <w:rFonts w:ascii="Courier New" w:hAnsi="Courier New"/>
          <w:sz w:val="18"/>
        </w:rPr>
        <w:t>18f8d6f</w:t>
      </w:r>
      <w:r>
        <w:t>.</w:t>
      </w:r>
    </w:p>
    <w:p>
      <w:pPr>
        <w:pStyle w:val="Heading2"/>
      </w:pPr>
      <w:r>
        <w:t>§2 — O ciclo de vida ponta a ponta (como o módulo opera a empresa)</w:t>
      </w:r>
    </w:p>
    <w:p>
      <w:pPr>
        <w:pStyle w:val="ListNumber"/>
      </w:pPr>
      <w:r>
        <w:rPr>
          <w:b/>
        </w:rPr>
        <w:t>Aquisição:</w:t>
      </w:r>
      <w:r>
        <w:t xml:space="preserve"> visitante se cadastra (</w:t>
      </w:r>
      <w:r>
        <w:rPr>
          <w:rFonts w:ascii="Courier New" w:hAnsi="Courier New"/>
          <w:sz w:val="18"/>
        </w:rPr>
        <w:t>/cadastro</w:t>
      </w:r>
      <w:r>
        <w:t xml:space="preserve"> → </w:t>
      </w:r>
      <w:r>
        <w:rPr>
          <w:rFonts w:ascii="Courier New" w:hAnsi="Courier New"/>
          <w:sz w:val="18"/>
        </w:rPr>
        <w:t>registrar-tenant</w:t>
      </w:r>
      <w:r>
        <w:t xml:space="preserve">, PF ou PJ) → nasce Tenant + Empresa + Admin + </w:t>
      </w:r>
      <w:r>
        <w:rPr>
          <w:b/>
        </w:rPr>
        <w:t>assinatura Trial</w:t>
      </w:r>
      <w:r>
        <w:t xml:space="preserve"> (1.07). E-mail de boas-vindas.</w:t>
      </w:r>
    </w:p>
    <w:p>
      <w:pPr>
        <w:pStyle w:val="ListNumber"/>
      </w:pPr>
      <w:r>
        <w:rPr>
          <w:b/>
        </w:rPr>
        <w:t>Operação em trial:</w:t>
      </w:r>
      <w:r>
        <w:t xml:space="preserve"> tenant opera; ao fim do trial, job gera 1ª fatura e cobra (1.08).</w:t>
      </w:r>
    </w:p>
    <w:p>
      <w:pPr>
        <w:pStyle w:val="ListNumber"/>
      </w:pPr>
      <w:r>
        <w:rPr>
          <w:b/>
        </w:rPr>
        <w:t>Cobrança recorrente:</w:t>
      </w:r>
      <w:r>
        <w:t xml:space="preserve"> fatura por ciclo (mensal/anual/vitalícia) → PIX/cartão/boleto → webhook concilia → recibo (1.08).</w:t>
      </w:r>
    </w:p>
    <w:p>
      <w:pPr>
        <w:pStyle w:val="ListNumber"/>
      </w:pPr>
      <w:r>
        <w:rPr>
          <w:b/>
        </w:rPr>
        <w:t>Inadimplência:</w:t>
      </w:r>
      <w:r>
        <w:t xml:space="preserve"> não pagou na tolerância do plano → somente-leitura/export → bloqueio (1.06/1.05/REG-021). </w:t>
      </w:r>
      <w:r>
        <w:rPr>
          <w:b/>
        </w:rPr>
        <w:t>Avisar antes, reativar imediato ao pagar</w:t>
      </w:r>
      <w:r>
        <w:t xml:space="preserve"> (skill jurídica).</w:t>
      </w:r>
    </w:p>
    <w:p>
      <w:pPr>
        <w:pStyle w:val="ListNumber"/>
      </w:pPr>
      <w:r>
        <w:rPr>
          <w:b/>
        </w:rPr>
        <w:t>Acesso:</w:t>
      </w:r>
      <w:r>
        <w:t xml:space="preserve"> pessoas entram (login global/social), escolhem empresa (cards), papéis definem capacidades e menu (1.04/1.09/1.10).</w:t>
      </w:r>
    </w:p>
    <w:p>
      <w:pPr>
        <w:pStyle w:val="ListNumber"/>
      </w:pPr>
      <w:r>
        <w:rPr>
          <w:b/>
        </w:rPr>
        <w:t>Operação Siser (Landlord):</w:t>
      </w:r>
      <w:r>
        <w:t xml:space="preserve"> suporte técnico/negócio acessa clientes com auditoria, gere planos/faturas/tenants, vê métricas SaaS (1.11).</w:t>
      </w:r>
    </w:p>
    <w:p>
      <w:pPr>
        <w:pStyle w:val="Heading2"/>
      </w:pPr>
      <w:r>
        <w:t>§3 — O que "deixamos para trás" (MC consolidada — meta: zerar)</w:t>
      </w:r>
    </w:p>
    <w:p>
      <w:pPr>
        <w:pStyle w:val="Heading3"/>
      </w:pPr>
      <w:r>
        <w:t>(a) Buildável já — código puro (FAZER na varredura da MC)</w:t>
      </w:r>
    </w:p>
    <w:p>
      <w:pPr>
        <w:pStyle w:val="ListBullet"/>
      </w:pPr>
      <w:r>
        <w:t>~~</w:t>
      </w:r>
      <w:r>
        <w:rPr>
          <w:b/>
        </w:rPr>
        <w:t>Lock otimista</w:t>
      </w:r>
      <w:r>
        <w:t xml:space="preserve"> (REG-017) — inventariar </w:t>
      </w:r>
      <w:r>
        <w:rPr>
          <w:rFonts w:ascii="Courier New" w:hAnsi="Courier New"/>
          <w:sz w:val="18"/>
        </w:rPr>
        <w:t>SyncVersion</w:t>
      </w:r>
      <w:r>
        <w:t xml:space="preserve"> como concurrency token (1.05).~~ ✅ </w:t>
      </w:r>
      <w:r>
        <w:rPr>
          <w:b/>
        </w:rPr>
        <w:t>FEITO (1.08H)</w:t>
      </w:r>
      <w:r>
        <w:t xml:space="preserve"> — optimistic locking </w:t>
      </w:r>
      <w:r>
        <w:rPr>
          <w:b/>
        </w:rPr>
        <w:t>GLOBAL</w:t>
      </w:r>
      <w:r>
        <w:t xml:space="preserve"> via </w:t>
      </w:r>
      <w:r>
        <w:rPr>
          <w:b/>
        </w:rPr>
        <w:t>`xmin` do Postgres</w:t>
      </w:r>
      <w:r>
        <w:t xml:space="preserve"> como concurrency token (não o </w:t>
      </w:r>
      <w:r>
        <w:rPr>
          <w:rFonts w:ascii="Courier New" w:hAnsi="Courier New"/>
          <w:sz w:val="18"/>
        </w:rPr>
        <w:t>SyncVersion</w:t>
      </w:r>
      <w:r>
        <w:t xml:space="preserve">: </w:t>
      </w:r>
      <w:r>
        <w:rPr>
          <w:rFonts w:ascii="Courier New" w:hAnsi="Courier New"/>
          <w:sz w:val="18"/>
        </w:rPr>
        <w:t>xmin</w:t>
      </w:r>
      <w:r>
        <w:t xml:space="preserve"> é coluna de sistema, </w:t>
      </w:r>
      <w:r>
        <w:rPr>
          <w:b/>
        </w:rPr>
        <w:t>aditivo sem migration</w:t>
      </w:r>
      <w:r>
        <w:t xml:space="preserve">, e o Postgres preenche sozinho → inserts/seeds não precisam setar versão). Ligado em </w:t>
      </w:r>
      <w:r>
        <w:rPr>
          <w:rFonts w:ascii="Courier New" w:hAnsi="Courier New"/>
          <w:sz w:val="18"/>
        </w:rPr>
        <w:t>ContextBase.OnModelCreating</w:t>
      </w:r>
      <w:r>
        <w:t xml:space="preserve"> para </w:t>
      </w:r>
      <w:r>
        <w:rPr>
          <w:b/>
        </w:rPr>
        <w:t>toda</w:t>
      </w:r>
      <w:r>
        <w:t xml:space="preserve"> </w:t>
      </w:r>
      <w:r>
        <w:rPr>
          <w:rFonts w:ascii="Courier New" w:hAnsi="Courier New"/>
          <w:sz w:val="18"/>
        </w:rPr>
        <w:t>EntidadeSaaSBase</w:t>
      </w:r>
      <w:r>
        <w:t xml:space="preserve">, </w:t>
      </w:r>
      <w:r>
        <w:rPr>
          <w:b/>
        </w:rPr>
        <w:t>só no provider Npgsql</w:t>
      </w:r>
      <w:r>
        <w:t xml:space="preserve"> (InMemory da suíte intacto). Todo UPDATE/DELETE passa a levar </w:t>
      </w:r>
      <w:r>
        <w:rPr>
          <w:rFonts w:ascii="Courier New" w:hAnsi="Courier New"/>
          <w:sz w:val="18"/>
        </w:rPr>
        <w:t>WHERE ... AND xmin=@original</w:t>
      </w:r>
      <w:r>
        <w:t xml:space="preserve">; conflito → </w:t>
      </w:r>
      <w:r>
        <w:rPr>
          <w:rFonts w:ascii="Courier New" w:hAnsi="Courier New"/>
          <w:sz w:val="18"/>
        </w:rPr>
        <w:t>DbUpdateConcurrencyException</w:t>
      </w:r>
      <w:r>
        <w:t xml:space="preserve"> </w:t>
      </w:r>
      <w:r>
        <w:rPr>
          <w:b/>
        </w:rPr>
        <w:t>mapeada a 409</w:t>
      </w:r>
      <w:r>
        <w:t xml:space="preserve"> no </w:t>
      </w:r>
      <w:r>
        <w:rPr>
          <w:rFonts w:ascii="Courier New" w:hAnsi="Courier New"/>
          <w:sz w:val="18"/>
        </w:rPr>
        <w:t>ExcecaoGlobalMiddleware</w:t>
      </w:r>
      <w:r>
        <w:t xml:space="preserve">. Cobertura foi </w:t>
      </w:r>
      <w:r>
        <w:rPr>
          <w:b/>
        </w:rPr>
        <w:t>TOTAL</w:t>
      </w:r>
      <w:r>
        <w:t xml:space="preserve"> (todas as entidades-chave e as demais), não parcial — a suíte inteira (1027) ficou verde sem ajuste de seeds. Testes (Postgres/Testcontainers): duas leituras concorrentes de </w:t>
      </w:r>
      <w:r>
        <w:rPr>
          <w:rFonts w:ascii="Courier New" w:hAnsi="Courier New"/>
          <w:sz w:val="18"/>
        </w:rPr>
        <w:t>Plano</w:t>
      </w:r>
      <w:r>
        <w:t xml:space="preserve"> e de </w:t>
      </w:r>
      <w:r>
        <w:rPr>
          <w:rFonts w:ascii="Courier New" w:hAnsi="Courier New"/>
          <w:sz w:val="18"/>
        </w:rPr>
        <w:t>Cliente</w:t>
      </w:r>
      <w:r>
        <w:t xml:space="preserve"> → 2º save conflita.</w:t>
      </w:r>
    </w:p>
    <w:p>
      <w:pPr>
        <w:pStyle w:val="ListBullet"/>
      </w:pPr>
      <w:r>
        <w:t>~~</w:t>
      </w:r>
      <w:r>
        <w:rPr>
          <w:b/>
        </w:rPr>
        <w:t>Restauração governada de soft-delete</w:t>
      </w:r>
      <w:r>
        <w:t xml:space="preserve"> (REG-016) (1.05).~~ ✅ </w:t>
      </w:r>
      <w:r>
        <w:rPr>
          <w:b/>
        </w:rPr>
        <w:t>FEITO (1.08H)</w:t>
      </w:r>
      <w:r>
        <w:t xml:space="preserve"> — método de domínio </w:t>
      </w:r>
      <w:r>
        <w:rPr>
          <w:rFonts w:ascii="Courier New" w:hAnsi="Courier New"/>
          <w:sz w:val="18"/>
        </w:rPr>
        <w:t>EntidadeSaaSBase.Restaurar(restauradoPor)</w:t>
      </w:r>
      <w:r>
        <w:t xml:space="preserve"> (limpa </w:t>
      </w:r>
      <w:r>
        <w:rPr>
          <w:rFonts w:ascii="Courier New" w:hAnsi="Courier New"/>
          <w:sz w:val="18"/>
        </w:rPr>
        <w:t>DeletadoEm</w:t>
      </w:r>
      <w:r>
        <w:t xml:space="preserve">, audita em </w:t>
      </w:r>
      <w:r>
        <w:rPr>
          <w:rFonts w:ascii="Courier New" w:hAnsi="Courier New"/>
          <w:sz w:val="18"/>
        </w:rPr>
        <w:t>AlteradoPor/AlteradoEm</w:t>
      </w:r>
      <w:r>
        <w:t xml:space="preserve">, </w:t>
      </w:r>
      <w:r>
        <w:rPr>
          <w:b/>
        </w:rPr>
        <w:t>idempotente</w:t>
      </w:r>
      <w:r>
        <w:t xml:space="preserve">: já-ativo = no-op). Comando/handler </w:t>
      </w:r>
      <w:r>
        <w:rPr>
          <w:rFonts w:ascii="Courier New" w:hAnsi="Courier New"/>
          <w:sz w:val="18"/>
        </w:rPr>
        <w:t>RestaurarEntidadeCommand</w:t>
      </w:r>
      <w:r>
        <w:t xml:space="preserve"> (Aplicativo) + endpoint </w:t>
      </w:r>
      <w:r>
        <w:rPr>
          <w:rFonts w:ascii="Courier New" w:hAnsi="Courier New"/>
          <w:sz w:val="18"/>
        </w:rPr>
        <w:t>POST /api/v1/plataforma/superadmin/restaurar/{tipo}/{id}</w:t>
      </w:r>
      <w:r>
        <w:t xml:space="preserve"> (herda o gate </w:t>
      </w:r>
      <w:r>
        <w:rPr>
          <w:rFonts w:ascii="Courier New" w:hAnsi="Courier New"/>
          <w:sz w:val="18"/>
        </w:rPr>
        <w:t>SuperAdmin:Configurar</w:t>
      </w:r>
      <w:r>
        <w:t xml:space="preserve"> — operador interno) para as entidades-chave </w:t>
      </w:r>
      <w:r>
        <w:rPr>
          <w:b/>
        </w:rPr>
        <w:t>Cliente/Plano/Cupom</w:t>
      </w:r>
      <w:r>
        <w:t xml:space="preserve"> (control-plane) e </w:t>
      </w:r>
      <w:r>
        <w:rPr>
          <w:b/>
        </w:rPr>
        <w:t>Usuario</w:t>
      </w:r>
      <w:r>
        <w:t xml:space="preserve"> (identity). Usa </w:t>
      </w:r>
      <w:r>
        <w:rPr>
          <w:rFonts w:ascii="Courier New" w:hAnsi="Courier New"/>
          <w:sz w:val="18"/>
        </w:rPr>
        <w:t>IgnoreQueryFilters</w:t>
      </w:r>
      <w:r>
        <w:t xml:space="preserve"> mas </w:t>
      </w:r>
      <w:r>
        <w:rPr>
          <w:b/>
        </w:rPr>
        <w:t>re-aplica o filtro de tenant à mão</w:t>
      </w:r>
      <w:r>
        <w:t xml:space="preserve"> (respeita RLS/isolamento; entidades globais não filtram). Testes: restaura Cliente e Usuario soft-deleted; restaurar de novo / algo não-deletado = no-op.</w:t>
      </w:r>
    </w:p>
    <w:p>
      <w:pPr>
        <w:pStyle w:val="ListBullet"/>
      </w:pPr>
      <w:r>
        <w:t>~~</w:t>
      </w:r>
      <w:r>
        <w:rPr>
          <w:b/>
        </w:rPr>
        <w:t>Semear `CapacidadeRequerida`</w:t>
      </w:r>
      <w:r>
        <w:t xml:space="preserve"> no catálogo de menus real (1.10 — mecanismo pronto, dado não semeado; sidebar usa fallback até lá).~~ ✅ </w:t>
      </w:r>
      <w:r>
        <w:rPr>
          <w:b/>
        </w:rPr>
        <w:t>FEITO (1.08H)</w:t>
      </w:r>
      <w:r>
        <w:t xml:space="preserve"> — </w:t>
      </w:r>
      <w:r>
        <w:rPr>
          <w:rFonts w:ascii="Courier New" w:hAnsi="Courier New"/>
          <w:sz w:val="18"/>
        </w:rPr>
        <w:t>MenuCatalogoSeeder</w:t>
      </w:r>
      <w:r>
        <w:t xml:space="preserve"> (boot, logo após o </w:t>
      </w:r>
      <w:r>
        <w:rPr>
          <w:rFonts w:ascii="Courier New" w:hAnsi="Courier New"/>
          <w:sz w:val="18"/>
        </w:rPr>
        <w:t>CapacidadeCatalogoSeeder</w:t>
      </w:r>
      <w:r>
        <w:t xml:space="preserve">, </w:t>
      </w:r>
      <w:r>
        <w:rPr>
          <w:b/>
        </w:rPr>
        <w:t>idempotente</w:t>
      </w:r>
      <w:r>
        <w:t xml:space="preserve">) materializa a árvore de navegação real (espelho do </w:t>
      </w:r>
      <w:r>
        <w:rPr>
          <w:rFonts w:ascii="Courier New" w:hAnsi="Courier New"/>
          <w:sz w:val="18"/>
        </w:rPr>
        <w:t>erpMenu</w:t>
      </w:r>
      <w:r>
        <w:t xml:space="preserve"> do front) como </w:t>
      </w:r>
      <w:r>
        <w:rPr>
          <w:rFonts w:ascii="Courier New" w:hAnsi="Courier New"/>
          <w:sz w:val="18"/>
        </w:rPr>
        <w:t>Menu</w:t>
      </w:r>
      <w:r>
        <w:t>+</w:t>
      </w:r>
      <w:r>
        <w:rPr>
          <w:rFonts w:ascii="Courier New" w:hAnsi="Courier New"/>
          <w:sz w:val="18"/>
        </w:rPr>
        <w:t>MenuItemNivel1</w:t>
      </w:r>
      <w:r>
        <w:t xml:space="preserve"> e </w:t>
      </w:r>
      <w:r>
        <w:rPr>
          <w:b/>
        </w:rPr>
        <w:t>amarra cada folha à capacidade `recurso:acao`</w:t>
      </w:r>
      <w:r>
        <w:t xml:space="preserve"> do seu módulo — a MESMA chave que o </w:t>
      </w:r>
      <w:r>
        <w:rPr>
          <w:rFonts w:ascii="Courier New" w:hAnsi="Courier New"/>
          <w:sz w:val="18"/>
        </w:rPr>
        <w:t>AbacFilter</w:t>
      </w:r>
      <w:r>
        <w:t xml:space="preserve"> cobra —, resolvendo a ação de leitura (ler/consultar/visualizar…) contra o catálogo </w:t>
      </w:r>
      <w:r>
        <w:rPr>
          <w:b/>
        </w:rPr>
        <w:t>descoberto</w:t>
      </w:r>
      <w:r>
        <w:t xml:space="preserve"> dos </w:t>
      </w:r>
      <w:r>
        <w:rPr>
          <w:rFonts w:ascii="Courier New" w:hAnsi="Courier New"/>
          <w:sz w:val="18"/>
        </w:rPr>
        <w:t>[AbacAuthorize]</w:t>
      </w:r>
      <w:r>
        <w:t xml:space="preserve"> (nunca semeia cap que o gate não conheça). Onde </w:t>
      </w:r>
      <w:r>
        <w:rPr>
          <w:b/>
        </w:rPr>
        <w:t>não há capacidade óbvia</w:t>
      </w:r>
      <w:r>
        <w:t xml:space="preserve"> (telas de CRUD legadas sem </w:t>
      </w:r>
      <w:r>
        <w:rPr>
          <w:rFonts w:ascii="Courier New" w:hAnsi="Courier New"/>
          <w:sz w:val="18"/>
        </w:rPr>
        <w:t>[AbacAuthorize]</w:t>
      </w:r>
      <w:r>
        <w:t xml:space="preserve">: Parceiros/Produtos/PDV/CFOP/Bancos…), a folha fica </w:t>
      </w:r>
      <w:r>
        <w:rPr>
          <w:b/>
        </w:rPr>
        <w:t>`CapacidadeRequerida = null`</w:t>
      </w:r>
      <w:r>
        <w:t xml:space="preserve"> — item de plataforma sem gate próprio (documentado no seeder; pendente do controller adotar o gate). Módulo (entitlement de plano) fica nulo no catálogo semeado (visibilidade por plano segue no gate/</w:t>
      </w:r>
      <w:r>
        <w:rPr>
          <w:rFonts w:ascii="Courier New" w:hAnsi="Courier New"/>
          <w:sz w:val="18"/>
        </w:rPr>
        <w:t>ModuloTenantMiddleware</w:t>
      </w:r>
      <w:r>
        <w:t xml:space="preserve">; refinamento futuro). Agora </w:t>
      </w:r>
      <w:r>
        <w:rPr>
          <w:rFonts w:ascii="Courier New" w:hAnsi="Courier New"/>
          <w:sz w:val="18"/>
        </w:rPr>
        <w:t>GET /api/v1/menu</w:t>
      </w:r>
      <w:r>
        <w:t xml:space="preserve"> projeta o menu dinâmico real. Testes: seed cria itens com capacidade + idempotência; usuário com </w:t>
      </w:r>
      <w:r>
        <w:rPr>
          <w:rFonts w:ascii="Courier New" w:hAnsi="Courier New"/>
          <w:sz w:val="18"/>
        </w:rPr>
        <w:t>empresa:ler</w:t>
      </w:r>
      <w:r>
        <w:t xml:space="preserve"> passa a ver o item no menu projetado.</w:t>
      </w:r>
    </w:p>
    <w:p>
      <w:pPr>
        <w:pStyle w:val="ListBullet"/>
      </w:pPr>
      <w:r>
        <w:rPr>
          <w:b/>
        </w:rPr>
        <w:t>Front por-empresa:</w:t>
      </w:r>
      <w:r>
        <w:t xml:space="preserve"> atribuir papel por empresa na tela; rewire projeção de menu por empresa (1.09/1.10).</w:t>
      </w:r>
    </w:p>
    <w:p>
      <w:pPr>
        <w:pStyle w:val="ListBullet"/>
      </w:pPr>
      <w:r>
        <w:t>~~</w:t>
      </w:r>
      <w:r>
        <w:rPr>
          <w:b/>
        </w:rPr>
        <w:t>Métricas SaaS baseadas em `AssinaturaCliente`</w:t>
      </w:r>
      <w:r>
        <w:t xml:space="preserve"> (hoje via </w:t>
      </w:r>
      <w:r>
        <w:rPr>
          <w:rFonts w:ascii="Courier New" w:hAnsi="Courier New"/>
          <w:sz w:val="18"/>
        </w:rPr>
        <w:t>Contrato</w:t>
      </w:r>
      <w:r>
        <w:t xml:space="preserve"> desacoplado — §4).~~ ✅ </w:t>
      </w:r>
      <w:r>
        <w:rPr>
          <w:b/>
        </w:rPr>
        <w:t>FEITO (1.08G)</w:t>
      </w:r>
      <w:r>
        <w:t xml:space="preserve"> — MRR rebaseado na </w:t>
      </w:r>
      <w:r>
        <w:rPr>
          <w:rFonts w:ascii="Courier New" w:hAnsi="Courier New"/>
          <w:sz w:val="18"/>
        </w:rPr>
        <w:t>AssinaturaCliente</w:t>
      </w:r>
      <w:r>
        <w:t xml:space="preserve"> + ARPU/LTV/conversão/inadimplência + relatórios agregados Landlord (caixa/factual). Ver §4.</w:t>
      </w:r>
    </w:p>
    <w:p>
      <w:pPr>
        <w:pStyle w:val="Heading3"/>
      </w:pPr>
      <w:r>
        <w:t>(b) Travado em skill de negócio → **skills agora INGERIDAS** (implementar citando fonte, com selo "valida contador/advogado")</w:t>
      </w:r>
    </w:p>
    <w:p>
      <w:pPr>
        <w:pStyle w:val="ListBullet"/>
      </w:pPr>
      <w:r>
        <w:t>~~</w:t>
      </w:r>
      <w:r>
        <w:rPr>
          <w:b/>
        </w:rPr>
        <w:t>Reconhecimento de receita:</w:t>
      </w:r>
      <w:r>
        <w:t xml:space="preserve"> mensal no mês; </w:t>
      </w:r>
      <w:r>
        <w:rPr>
          <w:b/>
        </w:rPr>
        <w:t>anual à vista = 12 avos + passivo de receita diferida</w:t>
      </w:r>
      <w:r>
        <w:t xml:space="preserve"> (CPC 47 / Lei 6.404 art. 177). → skill </w:t>
      </w:r>
      <w:r>
        <w:rPr>
          <w:rFonts w:ascii="Courier New" w:hAnsi="Courier New"/>
          <w:sz w:val="18"/>
        </w:rPr>
        <w:t>contabil</w:t>
      </w:r>
      <w:r>
        <w:t xml:space="preserve"> ✅ povoada.~~ 🟢 </w:t>
      </w:r>
      <w:r>
        <w:rPr>
          <w:b/>
        </w:rPr>
        <w:t>MECANISMO FEITO (1.08I)</w:t>
      </w:r>
      <w:r>
        <w:t xml:space="preserve"> — entidade </w:t>
      </w:r>
      <w:r>
        <w:rPr>
          <w:rFonts w:ascii="Courier New" w:hAnsi="Courier New"/>
          <w:sz w:val="18"/>
        </w:rPr>
        <w:t>ReconhecimentoReceita</w:t>
      </w:r>
      <w:r>
        <w:t xml:space="preserve"> (competência, valor, status pendente/reconhecido, ref. fatura) + </w:t>
      </w:r>
      <w:r>
        <w:rPr>
          <w:rFonts w:ascii="Courier New" w:hAnsi="Courier New"/>
          <w:sz w:val="18"/>
        </w:rPr>
        <w:t>ReconhecimentoReceitaService</w:t>
      </w:r>
      <w:r>
        <w:t xml:space="preserve">: fatura de plano </w:t>
      </w:r>
      <w:r>
        <w:rPr>
          <w:b/>
        </w:rPr>
        <w:t>anual paga à vista gera cronograma de 12 competências</w:t>
      </w:r>
      <w:r>
        <w:t xml:space="preserve"> (1/12 por mês, passivo de receita diferida que baixa mensalmente; resíduo de centavos na última parcela → soma fecha = valor da fatura); </w:t>
      </w:r>
      <w:r>
        <w:rPr>
          <w:b/>
        </w:rPr>
        <w:t>mensal reconhece integral no mês</w:t>
      </w:r>
      <w:r>
        <w:t xml:space="preserve"> (sem diferir); rotina </w:t>
      </w:r>
      <w:r>
        <w:rPr>
          <w:rFonts w:ascii="Courier New" w:hAnsi="Courier New"/>
          <w:sz w:val="18"/>
        </w:rPr>
        <w:t>ReconhecerCompetenciaAsync</w:t>
      </w:r>
      <w:r>
        <w:t xml:space="preserve"> apropria a(s) parcela(s) vencida(s). Ligado no caminho real de pagamento (</w:t>
      </w:r>
      <w:r>
        <w:rPr>
          <w:rFonts w:ascii="Courier New" w:hAnsi="Courier New"/>
          <w:sz w:val="18"/>
        </w:rPr>
        <w:t>FaturaLiquidacaoService.LiquidarAsync</w:t>
      </w:r>
      <w:r>
        <w:t xml:space="preserve">, idempotente). Migration aditiva </w:t>
      </w:r>
      <w:r>
        <w:rPr>
          <w:rFonts w:ascii="Courier New" w:hAnsi="Courier New"/>
          <w:sz w:val="18"/>
        </w:rPr>
        <w:t>Implanta_1_08I_ReceitaDiferidaComissao</w:t>
      </w:r>
      <w:r>
        <w:t xml:space="preserve">. </w:t>
      </w:r>
      <w:r>
        <w:rPr>
          <w:b/>
        </w:rPr>
        <w:t>Fonte:</w:t>
      </w:r>
      <w:r>
        <w:t xml:space="preserve"> skill </w:t>
      </w:r>
      <w:r>
        <w:rPr>
          <w:rFonts w:ascii="Courier New" w:hAnsi="Courier New"/>
          <w:sz w:val="18"/>
        </w:rPr>
        <w:t>Negocio-acumulado/contabil</w:t>
      </w:r>
      <w:r>
        <w:t xml:space="preserve"> (RN04/05/07 — CPC 47 itens 35(a)/106; Lei 6.404 art. 177). ⚠️ </w:t>
      </w:r>
      <w:r>
        <w:rPr>
          <w:b/>
        </w:rPr>
        <w:t>Contas contábeis + política (pró-rata, vitalício=ponto-único por default, competência×caixa) = PARÂMETRO, valida contador</w:t>
      </w:r>
      <w:r>
        <w:t xml:space="preserve"> — o código só calcula 1/N citando a norma, não fixa conta nem regime.</w:t>
      </w:r>
    </w:p>
    <w:p>
      <w:pPr>
        <w:pStyle w:val="ListBullet"/>
      </w:pPr>
      <w:r>
        <w:rPr>
          <w:b/>
        </w:rPr>
        <w:t>Conciliação de gateway:</w:t>
      </w:r>
      <w:r>
        <w:t xml:space="preserve"> bruto+tarifa+líquido (já feito na 1.08A) — agora </w:t>
      </w:r>
      <w:r>
        <w:rPr>
          <w:b/>
        </w:rPr>
        <w:t>fundamentado</w:t>
      </w:r>
      <w:r>
        <w:t xml:space="preserve"> (skill </w:t>
      </w:r>
      <w:r>
        <w:rPr>
          <w:rFonts w:ascii="Courier New" w:hAnsi="Courier New"/>
          <w:sz w:val="18"/>
        </w:rPr>
        <w:t>financeiro</w:t>
      </w:r>
      <w:r>
        <w:t xml:space="preserve"> ✅).</w:t>
      </w:r>
    </w:p>
    <w:p>
      <w:pPr>
        <w:pStyle w:val="ListBullet"/>
      </w:pPr>
      <w:r>
        <w:t>~~</w:t>
      </w:r>
      <w:r>
        <w:rPr>
          <w:b/>
        </w:rPr>
        <w:t>Comissão de revenda:</w:t>
      </w:r>
      <w:r>
        <w:t xml:space="preserve"> mecanismo; </w:t>
      </w:r>
      <w:r>
        <w:rPr>
          <w:b/>
        </w:rPr>
        <w:t>base/%/momento = parâmetro</w:t>
      </w:r>
      <w:r>
        <w:t xml:space="preserve"> do overlay (skill </w:t>
      </w:r>
      <w:r>
        <w:rPr>
          <w:rFonts w:ascii="Courier New" w:hAnsi="Courier New"/>
          <w:sz w:val="18"/>
        </w:rPr>
        <w:t>financeiro</w:t>
      </w:r>
      <w:r>
        <w:t xml:space="preserve"> ✅; campos já existem em </w:t>
      </w:r>
      <w:r>
        <w:rPr>
          <w:rFonts w:ascii="Courier New" w:hAnsi="Courier New"/>
          <w:sz w:val="18"/>
        </w:rPr>
        <w:t>FaturaLandlordQueries</w:t>
      </w:r>
      <w:r>
        <w:t xml:space="preserve">).~~ 🟢 </w:t>
      </w:r>
      <w:r>
        <w:rPr>
          <w:b/>
        </w:rPr>
        <w:t>MECANISMO FEITO (1.08I)</w:t>
      </w:r>
      <w:r>
        <w:t xml:space="preserve"> — entidade </w:t>
      </w:r>
      <w:r>
        <w:rPr>
          <w:rFonts w:ascii="Courier New" w:hAnsi="Courier New"/>
          <w:sz w:val="18"/>
        </w:rPr>
        <w:t>ApuracaoComissao</w:t>
      </w:r>
      <w:r>
        <w:t xml:space="preserve"> + </w:t>
      </w:r>
      <w:r>
        <w:rPr>
          <w:rFonts w:ascii="Courier New" w:hAnsi="Courier New"/>
          <w:sz w:val="18"/>
        </w:rPr>
        <w:t>ApuracaoComissaoService</w:t>
      </w:r>
      <w:r>
        <w:t xml:space="preserve">: apura a comissão por fatura lendo </w:t>
      </w:r>
      <w:r>
        <w:rPr>
          <w:b/>
        </w:rPr>
        <w:t>base (bruto|líquido)</w:t>
      </w:r>
      <w:r>
        <w:t xml:space="preserve"> e </w:t>
      </w:r>
      <w:r>
        <w:rPr>
          <w:b/>
        </w:rPr>
        <w:t>momento (competência|caixa)</w:t>
      </w:r>
      <w:r>
        <w:t xml:space="preserve"> de </w:t>
      </w:r>
      <w:r>
        <w:rPr>
          <w:rFonts w:ascii="Courier New" w:hAnsi="Courier New"/>
          <w:sz w:val="18"/>
        </w:rPr>
        <w:t>ConfiguracaoGlobal</w:t>
      </w:r>
      <w:r>
        <w:t xml:space="preserve"> (chaves </w:t>
      </w:r>
      <w:r>
        <w:rPr>
          <w:rFonts w:ascii="Courier New" w:hAnsi="Courier New"/>
          <w:sz w:val="18"/>
        </w:rPr>
        <w:t>comissao.base</w:t>
      </w:r>
      <w:r>
        <w:t>/</w:t>
      </w:r>
      <w:r>
        <w:rPr>
          <w:rFonts w:ascii="Courier New" w:hAnsi="Courier New"/>
          <w:sz w:val="18"/>
        </w:rPr>
        <w:t>comissao.momento</w:t>
      </w:r>
      <w:r>
        <w:t xml:space="preserve">; </w:t>
      </w:r>
      <w:r>
        <w:rPr>
          <w:b/>
        </w:rPr>
        <w:t>default seguro Bruto/Caixa</w:t>
      </w:r>
      <w:r>
        <w:t xml:space="preserve">); o </w:t>
      </w:r>
      <w:r>
        <w:rPr>
          <w:b/>
        </w:rPr>
        <w:t>% vem de `Revenda`/`Vendedor.PercentualComissao`</w:t>
      </w:r>
      <w:r>
        <w:t xml:space="preserve"> (nunca hardcoded). Trocar o parâmetro muda o cálculo. Registra a apuração e um </w:t>
      </w:r>
      <w:r>
        <w:rPr>
          <w:b/>
        </w:rPr>
        <w:t>gancho de clawback</w:t>
      </w:r>
      <w:r>
        <w:t xml:space="preserve"> (</w:t>
      </w:r>
      <w:r>
        <w:rPr>
          <w:rFonts w:ascii="Courier New" w:hAnsi="Courier New"/>
          <w:sz w:val="18"/>
        </w:rPr>
        <w:t>AcionarClawbackAsync</w:t>
      </w:r>
      <w:r>
        <w:t xml:space="preserve"> — estorna a apuração em cancelamento/chargeback). Ligado no </w:t>
      </w:r>
      <w:r>
        <w:rPr>
          <w:rFonts w:ascii="Courier New" w:hAnsi="Courier New"/>
          <w:sz w:val="18"/>
        </w:rPr>
        <w:t>FaturaLiquidacaoService</w:t>
      </w:r>
      <w:r>
        <w:t xml:space="preserve"> (complementa o </w:t>
      </w:r>
      <w:r>
        <w:rPr>
          <w:rFonts w:ascii="Courier New" w:hAnsi="Courier New"/>
          <w:sz w:val="18"/>
        </w:rPr>
        <w:t>ComissaoApuradaEvent</w:t>
      </w:r>
      <w:r>
        <w:t xml:space="preserve"> factual). </w:t>
      </w:r>
      <w:r>
        <w:rPr>
          <w:b/>
        </w:rPr>
        <w:t>Fonte:</w:t>
      </w:r>
      <w:r>
        <w:t xml:space="preserve"> skill </w:t>
      </w:r>
      <w:r>
        <w:rPr>
          <w:rFonts w:ascii="Courier New" w:hAnsi="Courier New"/>
          <w:sz w:val="18"/>
        </w:rPr>
        <w:t>Negocio-acumulado/financeiro</w:t>
      </w:r>
      <w:r>
        <w:t xml:space="preserve"> (RN07 base, RN08 momento — CPC 47 itens 91–94, RN09 clawback). ⚠️ </w:t>
      </w:r>
      <w:r>
        <w:rPr>
          <w:b/>
        </w:rPr>
        <w:t>base/%/momento e janela de clawback = PARÂMETRO, valida contador</w:t>
      </w:r>
      <w:r>
        <w:t>.</w:t>
      </w:r>
    </w:p>
    <w:p>
      <w:pPr>
        <w:pStyle w:val="ListBullet"/>
      </w:pPr>
      <w:r>
        <w:rPr>
          <w:b/>
        </w:rPr>
        <w:t>Inadimplência:</w:t>
      </w:r>
      <w:r>
        <w:t xml:space="preserve"> 15 dias é prudente; invariantes = avisar antes, read-only antes de bloquear, reativar ao pagar (skill </w:t>
      </w:r>
      <w:r>
        <w:rPr>
          <w:rFonts w:ascii="Courier New" w:hAnsi="Courier New"/>
          <w:sz w:val="18"/>
        </w:rPr>
        <w:t>juridico</w:t>
      </w:r>
      <w:r>
        <w:t xml:space="preserve"> ✅).</w:t>
      </w:r>
    </w:p>
    <w:p>
      <w:pPr>
        <w:pStyle w:val="ListBullet"/>
      </w:pPr>
      <w:r>
        <w:t>~~</w:t>
      </w:r>
      <w:r>
        <w:rPr>
          <w:b/>
        </w:rPr>
        <w:t>ISS/NFS-e da mensalidade:</w:t>
      </w:r>
      <w:r>
        <w:t xml:space="preserve"> LC116 item 1.05/1.03, </w:t>
      </w:r>
      <w:r>
        <w:rPr>
          <w:b/>
        </w:rPr>
        <w:t>1 NFS-e por competência mensal</w:t>
      </w:r>
      <w:r>
        <w:t xml:space="preserve">; </w:t>
      </w:r>
      <w:r>
        <w:rPr>
          <w:b/>
        </w:rPr>
        <w:t>alíquota = parâmetro município-sede</w:t>
      </w:r>
      <w:r>
        <w:t xml:space="preserve"> (skill </w:t>
      </w:r>
      <w:r>
        <w:rPr>
          <w:rFonts w:ascii="Courier New" w:hAnsi="Courier New"/>
          <w:sz w:val="18"/>
        </w:rPr>
        <w:t>fiscal/nfse</w:t>
      </w:r>
      <w:r>
        <w:t xml:space="preserve"> ✅; overlay </w:t>
      </w:r>
      <w:r>
        <w:rPr>
          <w:rFonts w:ascii="Courier New" w:hAnsi="Courier New"/>
          <w:sz w:val="18"/>
        </w:rPr>
        <w:t>negocio-siser</w:t>
      </w:r>
      <w:r>
        <w:t xml:space="preserve"> a preencher c/ contador).~~ 🟡 </w:t>
      </w:r>
      <w:r>
        <w:rPr>
          <w:b/>
        </w:rPr>
        <w:t>MECANISMO/HOOK FEITO (1.08J)</w:t>
      </w:r>
      <w:r>
        <w:t xml:space="preserve"> — entidade </w:t>
      </w:r>
      <w:r>
        <w:rPr>
          <w:rFonts w:ascii="Courier New" w:hAnsi="Courier New"/>
          <w:sz w:val="18"/>
        </w:rPr>
        <w:t>NfseMensalidade</w:t>
      </w:r>
      <w:r>
        <w:t xml:space="preserve"> (competência, ref. fatura, tomador=cliente, valor base, status </w:t>
      </w:r>
      <w:r>
        <w:rPr>
          <w:rFonts w:ascii="Courier New" w:hAnsi="Courier New"/>
          <w:sz w:val="18"/>
        </w:rPr>
        <w:t>Pendente/Emitida/Dispensada/Erro</w:t>
      </w:r>
      <w:r>
        <w:t xml:space="preserve">, ambiente </w:t>
      </w:r>
      <w:r>
        <w:rPr>
          <w:b/>
        </w:rPr>
        <w:t>Homologação</w:t>
      </w:r>
      <w:r>
        <w:t xml:space="preserve"> por default) + </w:t>
      </w:r>
      <w:r>
        <w:rPr>
          <w:rFonts w:ascii="Courier New" w:hAnsi="Courier New"/>
          <w:sz w:val="18"/>
        </w:rPr>
        <w:t>NfseMensalidadeService</w:t>
      </w:r>
      <w:r>
        <w:t xml:space="preserve">: quando uma </w:t>
      </w:r>
      <w:r>
        <w:rPr>
          <w:b/>
        </w:rPr>
        <w:t>fatura de assinatura é paga</w:t>
      </w:r>
      <w:r>
        <w:t xml:space="preserve"> (</w:t>
      </w:r>
      <w:r>
        <w:rPr>
          <w:rFonts w:ascii="Courier New" w:hAnsi="Courier New"/>
          <w:sz w:val="18"/>
        </w:rPr>
        <w:t>FaturaLiquidacaoService.LiquidarAsync</w:t>
      </w:r>
      <w:r>
        <w:t xml:space="preserve">), registra </w:t>
      </w:r>
      <w:r>
        <w:rPr>
          <w:b/>
        </w:rPr>
        <w:t>1 NFS-e Pendente por competência/fatura</w:t>
      </w:r>
      <w:r>
        <w:t xml:space="preserve"> (idempotente, índice único </w:t>
      </w:r>
      <w:r>
        <w:rPr>
          <w:rFonts w:ascii="Courier New" w:hAnsi="Courier New"/>
          <w:sz w:val="18"/>
        </w:rPr>
        <w:t>fatura+competência</w:t>
      </w:r>
      <w:r>
        <w:t xml:space="preserve">). </w:t>
      </w:r>
      <w:r>
        <w:rPr>
          <w:b/>
        </w:rPr>
        <w:t>Porta de provedor</w:t>
      </w:r>
      <w:r>
        <w:t xml:space="preserve"> </w:t>
      </w:r>
      <w:r>
        <w:rPr>
          <w:rFonts w:ascii="Courier New" w:hAnsi="Courier New"/>
          <w:sz w:val="18"/>
        </w:rPr>
        <w:t>INfseProvider</w:t>
      </w:r>
      <w:r>
        <w:t xml:space="preserve"> com implementação default </w:t>
      </w:r>
      <w:r>
        <w:rPr>
          <w:rFonts w:ascii="Courier New" w:hAnsi="Courier New"/>
          <w:sz w:val="18"/>
        </w:rPr>
        <w:t>NfseProviderNaoConfigurado</w:t>
      </w:r>
      <w:r>
        <w:t xml:space="preserve"> (retorna "não configurado" → fica Pendente). </w:t>
      </w:r>
      <w:r>
        <w:rPr>
          <w:b/>
        </w:rPr>
        <w:t>Guarda de segurança fiscal (Regra #0):</w:t>
      </w:r>
      <w:r>
        <w:t xml:space="preserve"> sem alíquota+subitem+município+certificado (lidos de </w:t>
      </w:r>
      <w:r>
        <w:rPr>
          <w:rFonts w:ascii="Courier New" w:hAnsi="Courier New"/>
          <w:sz w:val="18"/>
        </w:rPr>
        <w:t>ConfiguracaoGlobal</w:t>
      </w:r>
      <w:r>
        <w:t xml:space="preserve">, hoje ausentes) o mecanismo </w:t>
      </w:r>
      <w:r>
        <w:rPr>
          <w:b/>
        </w:rPr>
        <w:t>NÃO emite</w:t>
      </w:r>
      <w:r>
        <w:t xml:space="preserve"> e </w:t>
      </w:r>
      <w:r>
        <w:rPr>
          <w:b/>
        </w:rPr>
        <w:t>não chama o provedor</w:t>
      </w:r>
      <w:r>
        <w:t xml:space="preserve"> — nunca com dado fabricado. Endpoint Landlord </w:t>
      </w:r>
      <w:r>
        <w:rPr>
          <w:rFonts w:ascii="Courier New" w:hAnsi="Courier New"/>
          <w:sz w:val="18"/>
        </w:rPr>
        <w:t>GET /api/v1/plataforma/faturas/nfse-mensalidade</w:t>
      </w:r>
      <w:r>
        <w:t xml:space="preserve"> (operador interno) lista as pendentes. Migration aditiva </w:t>
      </w:r>
      <w:r>
        <w:rPr>
          <w:rFonts w:ascii="Courier New" w:hAnsi="Courier New"/>
          <w:sz w:val="18"/>
        </w:rPr>
        <w:t>Implanta_1_08J_NfseMensalidade</w:t>
      </w:r>
      <w:r>
        <w:t xml:space="preserve">. </w:t>
      </w:r>
      <w:r>
        <w:rPr>
          <w:b/>
        </w:rPr>
        <w:t>Fonte:</w:t>
      </w:r>
      <w:r>
        <w:t xml:space="preserve"> skill </w:t>
      </w:r>
      <w:r>
        <w:rPr>
          <w:rFonts w:ascii="Courier New" w:hAnsi="Courier New"/>
          <w:sz w:val="18"/>
        </w:rPr>
        <w:t>Negocio-acumulado/fiscal/nfse</w:t>
      </w:r>
      <w:r>
        <w:t xml:space="preserve"> (RN47/RN48 incidência+enquadramento LC 116/2003 item </w:t>
      </w:r>
      <w:r>
        <w:rPr>
          <w:b/>
        </w:rPr>
        <w:t>1.05</w:t>
      </w:r>
      <w:r>
        <w:t xml:space="preserve"> e/ou </w:t>
      </w:r>
      <w:r>
        <w:rPr>
          <w:b/>
        </w:rPr>
        <w:t>1.03</w:t>
      </w:r>
      <w:r>
        <w:t xml:space="preserve">, STF ADI 1.945/5.659; RN49/RN50 fato gerador=prestação, 1 NFS-e por competência mensal; RN52 município credor = sede da Siser). ⛔ </w:t>
      </w:r>
      <w:r>
        <w:rPr>
          <w:b/>
        </w:rPr>
        <w:t>Emissão REAL depende de dependência externa: overlay `negocio-siser` (alíquota 2%–5% + subitem exato + município — contador) + provedor municipal + certificado digital.</w:t>
      </w:r>
      <w:r>
        <w:t xml:space="preserve"> Nenhuma alíquota/subitem/base fiscal inventada.</w:t>
      </w:r>
    </w:p>
    <w:p>
      <w:pPr>
        <w:pStyle w:val="Heading3"/>
      </w:pPr>
      <w:r>
        <w:t>(c) Limite de AMBIENTE (não é escopo — o código existe, falta o ambiente para PROVAR)</w:t>
      </w:r>
    </w:p>
    <w:p>
      <w:pPr>
        <w:pStyle w:val="ListBullet"/>
      </w:pPr>
      <w:r>
        <w:rPr>
          <w:b/>
        </w:rPr>
        <w:t>Build Nuxt do front</w:t>
      </w:r>
      <w:r>
        <w:t xml:space="preserve"> — falta </w:t>
      </w:r>
      <w:r>
        <w:rPr>
          <w:rFonts w:ascii="Courier New" w:hAnsi="Courier New"/>
          <w:sz w:val="18"/>
        </w:rPr>
        <w:t>node</w:t>
      </w:r>
      <w:r>
        <w:t>/</w:t>
      </w:r>
      <w:r>
        <w:rPr>
          <w:rFonts w:ascii="Courier New" w:hAnsi="Courier New"/>
          <w:sz w:val="18"/>
        </w:rPr>
        <w:t>npm</w:t>
      </w:r>
      <w:r>
        <w:t xml:space="preserve"> na máquina (todas as </w:t>
      </w:r>
      <w:r>
        <w:rPr>
          <w:rFonts w:ascii="Courier New" w:hAnsi="Courier New"/>
          <w:sz w:val="18"/>
        </w:rPr>
        <w:t>.vue</w:t>
      </w:r>
      <w:r>
        <w:t xml:space="preserve"> foram entregues).</w:t>
      </w:r>
    </w:p>
    <w:p>
      <w:pPr>
        <w:pStyle w:val="ListBullet"/>
      </w:pPr>
      <w:r>
        <w:rPr>
          <w:b/>
        </w:rPr>
        <w:t>Ponta-a-ponta de cartão/boleto/checkout</w:t>
      </w:r>
      <w:r>
        <w:t xml:space="preserve"> — falta credencial Mercado Pago (lógica REST real; testes com gateway mockado).</w:t>
      </w:r>
    </w:p>
    <w:p>
      <w:pPr>
        <w:pStyle w:val="ListBullet"/>
      </w:pPr>
      <w:r>
        <w:rPr>
          <w:b/>
        </w:rPr>
        <w:t>Migrations aplicadas a um banco persistente</w:t>
      </w:r>
      <w:r>
        <w:t xml:space="preserve"> — só rodadas no container de teste; aplicar em lote + smoke test.</w:t>
      </w:r>
    </w:p>
    <w:p>
      <w:pPr>
        <w:pStyle w:val="Heading2"/>
      </w:pPr>
      <w:r>
        <w:t>§4 — GAP DE OPERAÇÃO (o mais importante: o que um SaaS precisa e ainda falta)</w:t>
      </w:r>
    </w:p>
    <w:p>
      <w:r>
        <w:t>Verificado no código (existe/parcial/ausente, com evidência):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Capacidade p/ operar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Evidência / o que falta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Métricas de negócio</w:t>
            </w:r>
            <w:r>
              <w:t xml:space="preserve"> (MRR, churn)</w:t>
            </w:r>
          </w:p>
        </w:tc>
        <w:tc>
          <w:tcPr>
            <w:tcW w:type="dxa" w:w="2880"/>
          </w:tcPr>
          <w:p>
            <w:r>
              <w:t xml:space="preserve">🟢 </w:t>
            </w:r>
            <w:r>
              <w:rPr>
                <w:b/>
              </w:rPr>
              <w:t>Existe (1.08G)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ObterDashboardGlobalQueryHandler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SuperAdminQueryHandlers.cs</w:t>
            </w:r>
            <w:r>
              <w:t xml:space="preserve">) agora </w:t>
            </w:r>
            <w:r>
              <w:rPr>
                <w:b/>
              </w:rPr>
              <w:t>rebaseia o MRR na `AssinaturaCliente`</w:t>
            </w:r>
            <w:r>
              <w:t xml:space="preserve"> (não mais no </w:t>
            </w:r>
            <w:r>
              <w:rPr>
                <w:rFonts w:ascii="Courier New" w:hAnsi="Courier New"/>
                <w:sz w:val="18"/>
              </w:rPr>
              <w:t>Contrato</w:t>
            </w:r>
            <w:r>
              <w:t xml:space="preserve">): soma o valor recorrente das assinaturas </w:t>
            </w:r>
            <w:r>
              <w:rPr>
                <w:b/>
              </w:rPr>
              <w:t>ATIVAS</w:t>
            </w:r>
            <w:r>
              <w:t xml:space="preserve">, normalizado p/ mês pelo </w:t>
            </w:r>
            <w:r>
              <w:rPr>
                <w:rFonts w:ascii="Courier New" w:hAnsi="Courier New"/>
                <w:sz w:val="18"/>
              </w:rPr>
              <w:t>Plano</w:t>
            </w:r>
            <w:r>
              <w:t xml:space="preserve"> vinculado — </w:t>
            </w:r>
            <w:r>
              <w:rPr>
                <w:b/>
              </w:rPr>
              <w:t>Mensal = Preço; Anual = Preço/12; Vitalícia = 0</w:t>
            </w:r>
            <w:r>
              <w:t xml:space="preserve"> (cobrança única, receita </w:t>
            </w:r>
            <w:r>
              <w:rPr>
                <w:b/>
              </w:rPr>
              <w:t>NÃO recorrente</w:t>
            </w:r>
            <w:r>
              <w:t xml:space="preserve"> — tratamento documentado, fora do MRR). Dashboard estendido (aditivo, sem quebrar) com </w:t>
            </w:r>
            <w:r>
              <w:rPr>
                <w:b/>
              </w:rPr>
              <w:t>ARPU</w:t>
            </w:r>
            <w:r>
              <w:t xml:space="preserve"> (MRR/clientes ativos), </w:t>
            </w:r>
            <w:r>
              <w:rPr>
                <w:b/>
              </w:rPr>
              <w:t>conversão trial→pago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TrialAte</w:t>
            </w:r>
            <w:r>
              <w:t xml:space="preserve">≠null convertidos via </w:t>
            </w:r>
            <w:r>
              <w:rPr>
                <w:rFonts w:ascii="Courier New" w:hAnsi="Courier New"/>
                <w:sz w:val="18"/>
              </w:rPr>
              <w:t>TrialConvertidoEm</w:t>
            </w:r>
            <w:r>
              <w:t xml:space="preserve">, marco da 1.08A), </w:t>
            </w:r>
            <w:r>
              <w:rPr>
                <w:b/>
              </w:rPr>
              <w:t>LTV</w:t>
            </w:r>
            <w:r>
              <w:t xml:space="preserve"> (⚠️ </w:t>
            </w:r>
            <w:r>
              <w:rPr>
                <w:b/>
              </w:rPr>
              <w:t>método de LTV = parâmetro</w:t>
            </w:r>
            <w:r>
              <w:t xml:space="preserve"> — </w:t>
            </w:r>
            <w:r>
              <w:rPr>
                <w:rFonts w:ascii="Courier New" w:hAnsi="Courier New"/>
                <w:sz w:val="18"/>
              </w:rPr>
              <w:t>ARPU / churn</w:t>
            </w:r>
            <w:r>
              <w:t xml:space="preserve">; não é verdade contábil) e </w:t>
            </w:r>
            <w:r>
              <w:rPr>
                <w:b/>
              </w:rPr>
              <w:t>inadimplência agregada</w:t>
            </w:r>
            <w:r>
              <w:t xml:space="preserve"> (valor + nº de faturas vencidas não pagas). Tudo </w:t>
            </w:r>
            <w:r>
              <w:rPr>
                <w:b/>
              </w:rPr>
              <w:t>caixa/factual</w:t>
            </w:r>
            <w:r>
              <w:t>. Testes: MRR rebaseado, ARPU, conversão, inadimplência, LTV.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Mudança de plano self-service</w:t>
            </w:r>
            <w:r>
              <w:t xml:space="preserve"> (upgrade/downgrade + proração)</w:t>
            </w:r>
          </w:p>
        </w:tc>
        <w:tc>
          <w:tcPr>
            <w:tcW w:type="dxa" w:w="2880"/>
          </w:tcPr>
          <w:p>
            <w:r>
              <w:t xml:space="preserve">🟢 </w:t>
            </w:r>
            <w:r>
              <w:rPr>
                <w:b/>
              </w:rPr>
              <w:t>Existe (1.08D)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POST /api/v1/aplicativo/assinaturas/mudar-plano</w:t>
            </w:r>
            <w:r>
              <w:t xml:space="preserve"> → </w:t>
            </w:r>
            <w:r>
              <w:rPr>
                <w:rFonts w:ascii="Courier New" w:hAnsi="Courier New"/>
                <w:sz w:val="18"/>
              </w:rPr>
              <w:t>MudarPlanoCommandHandler</w:t>
            </w:r>
            <w:r>
              <w:t xml:space="preserve">. Troca o </w:t>
            </w:r>
            <w:r>
              <w:rPr>
                <w:rFonts w:ascii="Courier New" w:hAnsi="Courier New"/>
                <w:sz w:val="18"/>
              </w:rPr>
              <w:t>Plano</w:t>
            </w:r>
            <w:r>
              <w:t xml:space="preserve"> da </w:t>
            </w:r>
            <w:r>
              <w:rPr>
                <w:rFonts w:ascii="Courier New" w:hAnsi="Courier New"/>
                <w:sz w:val="18"/>
              </w:rPr>
              <w:t>AssinaturaCliente</w:t>
            </w:r>
            <w:r>
              <w:t xml:space="preserve"> + </w:t>
            </w:r>
            <w:r>
              <w:rPr>
                <w:rFonts w:ascii="Courier New" w:hAnsi="Courier New"/>
                <w:sz w:val="18"/>
              </w:rPr>
              <w:t>Cliente</w:t>
            </w:r>
            <w:r>
              <w:t xml:space="preserve">; reavalia entitlement via </w:t>
            </w:r>
            <w:r>
              <w:rPr>
                <w:rFonts w:ascii="Courier New" w:hAnsi="Courier New"/>
                <w:sz w:val="18"/>
              </w:rPr>
              <w:t>ValidadorLimitesSaaS</w:t>
            </w:r>
            <w:r>
              <w:t xml:space="preserve"> (bloqueia NOVAS criações, </w:t>
            </w:r>
            <w:r>
              <w:rPr>
                <w:b/>
              </w:rPr>
              <w:t>não apaga</w:t>
            </w:r>
            <w:r>
              <w:t xml:space="preserve"> excedente — REG 1.06). Proração = mecanismo </w:t>
            </w:r>
            <w:r>
              <w:rPr>
                <w:b/>
              </w:rPr>
              <w:t>pro-rata por dias</w:t>
            </w:r>
            <w:r>
              <w:t xml:space="preserve"> (débito → fatura de diferença; crédito → registrado p/ próxima fatura, entidade </w:t>
            </w:r>
            <w:r>
              <w:rPr>
                <w:rFonts w:ascii="Courier New" w:hAnsi="Courier New"/>
                <w:sz w:val="18"/>
              </w:rPr>
              <w:t>AjusteProracao</w:t>
            </w:r>
            <w:r>
              <w:t xml:space="preserve">). Evento </w:t>
            </w:r>
            <w:r>
              <w:rPr>
                <w:rFonts w:ascii="Courier New" w:hAnsi="Courier New"/>
                <w:sz w:val="18"/>
              </w:rPr>
              <w:t>PlanoAlteradoEvent</w:t>
            </w:r>
            <w:r>
              <w:t xml:space="preserve"> no Outbox. ⚠️ </w:t>
            </w:r>
            <w:r>
              <w:rPr>
                <w:b/>
              </w:rPr>
              <w:t>Política de proração (arredondamento/índice/contas contábeis) = valida contador</w:t>
            </w:r>
            <w:r>
              <w:t xml:space="preserve"> (skill financeiro/contábil; Regra #0).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Cancelamento de assinatura self-service</w:t>
            </w:r>
          </w:p>
        </w:tc>
        <w:tc>
          <w:tcPr>
            <w:tcW w:type="dxa" w:w="2880"/>
          </w:tcPr>
          <w:p>
            <w:r>
              <w:t xml:space="preserve">🟢 </w:t>
            </w:r>
            <w:r>
              <w:rPr>
                <w:b/>
              </w:rPr>
              <w:t>Existe (1.08D)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POST .../assinaturas/cancelar</w:t>
            </w:r>
            <w:r>
              <w:t xml:space="preserve"> (governado: registra motivo/quem/quando em </w:t>
            </w:r>
            <w:r>
              <w:rPr>
                <w:rFonts w:ascii="Courier New" w:hAnsi="Courier New"/>
                <w:sz w:val="18"/>
              </w:rPr>
              <w:t>AssinaturaCliente</w:t>
            </w:r>
            <w:r>
              <w:t xml:space="preserve">) → </w:t>
            </w:r>
            <w:r>
              <w:rPr>
                <w:rFonts w:ascii="Courier New" w:hAnsi="Courier New"/>
                <w:sz w:val="18"/>
              </w:rPr>
              <w:t>StatusSaaS.Cancelado</w:t>
            </w:r>
            <w:r>
              <w:t xml:space="preserve"> + </w:t>
            </w:r>
            <w:r>
              <w:rPr>
                <w:rFonts w:ascii="Courier New" w:hAnsi="Courier New"/>
                <w:sz w:val="18"/>
              </w:rPr>
              <w:t>AssinaturaStatus.Cancelada</w:t>
            </w:r>
            <w:r>
              <w:t xml:space="preserve">. Entra na janela somente-leitura/export de 30 dias já existente (REG-021, </w:t>
            </w:r>
            <w:r>
              <w:rPr>
                <w:rFonts w:ascii="Courier New" w:hAnsi="Courier New"/>
                <w:sz w:val="18"/>
              </w:rPr>
              <w:t>InquilinoSaaSMiddleware</w:t>
            </w:r>
            <w:r>
              <w:t xml:space="preserve">), depois bloqueio total. </w:t>
            </w:r>
            <w:r>
              <w:rPr>
                <w:rFonts w:ascii="Courier New" w:hAnsi="Courier New"/>
                <w:sz w:val="18"/>
              </w:rPr>
              <w:t>POST .../assinaturas/reativar</w:t>
            </w:r>
            <w:r>
              <w:t xml:space="preserve"> volta a </w:t>
            </w:r>
            <w:r>
              <w:rPr>
                <w:b/>
              </w:rPr>
              <w:t>Ativo</w:t>
            </w:r>
            <w:r>
              <w:t xml:space="preserve"> dentro da janela (honra skill jurídica). Eventos </w:t>
            </w:r>
            <w:r>
              <w:rPr>
                <w:rFonts w:ascii="Courier New" w:hAnsi="Courier New"/>
                <w:sz w:val="18"/>
              </w:rPr>
              <w:t>AssinaturaCanceladaEvent</w:t>
            </w:r>
            <w:r>
              <w:t>/</w:t>
            </w:r>
            <w:r>
              <w:rPr>
                <w:rFonts w:ascii="Courier New" w:hAnsi="Courier New"/>
                <w:sz w:val="18"/>
              </w:rPr>
              <w:t>AssinaturaReativadaEvent</w:t>
            </w:r>
            <w:r>
              <w:t xml:space="preserve"> no Outbox.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Cupom aplicado na cobrança</w:t>
            </w:r>
          </w:p>
        </w:tc>
        <w:tc>
          <w:tcPr>
            <w:tcW w:type="dxa" w:w="2880"/>
          </w:tcPr>
          <w:p>
            <w:r>
              <w:t xml:space="preserve">🟢 </w:t>
            </w:r>
            <w:r>
              <w:rPr>
                <w:b/>
              </w:rPr>
              <w:t>Existe (1.08E)</w:t>
            </w:r>
          </w:p>
        </w:tc>
        <w:tc>
          <w:tcPr>
            <w:tcW w:type="dxa" w:w="2880"/>
          </w:tcPr>
          <w:p>
            <w:r>
              <w:t xml:space="preserve">Aplica no </w:t>
            </w:r>
            <w:r>
              <w:rPr>
                <w:b/>
              </w:rPr>
              <w:t>pedido inicial</w:t>
            </w:r>
            <w:r>
              <w:t xml:space="preserve"> e agora também nas </w:t>
            </w:r>
            <w:r>
              <w:rPr>
                <w:b/>
              </w:rPr>
              <w:t>faturas recorrentes</w:t>
            </w:r>
            <w:r>
              <w:t>: cupom vinculado à assinatura (</w:t>
            </w:r>
            <w:r>
              <w:rPr>
                <w:rFonts w:ascii="Courier New" w:hAnsi="Courier New"/>
                <w:sz w:val="18"/>
              </w:rPr>
              <w:t>AssinaturaCliente.CupomId</w:t>
            </w:r>
            <w:r>
              <w:t xml:space="preserve"> + </w:t>
            </w:r>
            <w:r>
              <w:rPr>
                <w:rFonts w:ascii="Courier New" w:hAnsi="Courier New"/>
                <w:sz w:val="18"/>
              </w:rPr>
              <w:t>VincularCupom</w:t>
            </w:r>
            <w:r>
              <w:t>); no job de renovação (</w:t>
            </w:r>
            <w:r>
              <w:rPr>
                <w:rFonts w:ascii="Courier New" w:hAnsi="Courier New"/>
                <w:sz w:val="18"/>
              </w:rPr>
              <w:t>ProcessarRenovacaoAssinaturasCommandHandler</w:t>
            </w:r>
            <w:r>
              <w:t xml:space="preserve">) a fatura do ciclo recebe o desconto </w:t>
            </w:r>
            <w:r>
              <w:rPr>
                <w:b/>
              </w:rPr>
              <w:t>enquanto o cupom for válido</w:t>
            </w:r>
            <w:r>
              <w:t xml:space="preserve"> (validade + limite de uso do </w:t>
            </w:r>
            <w:r>
              <w:rPr>
                <w:rFonts w:ascii="Courier New" w:hAnsi="Courier New"/>
                <w:sz w:val="18"/>
              </w:rPr>
              <w:t>Cupom</w:t>
            </w:r>
            <w:r>
              <w:t xml:space="preserve">), registrando </w:t>
            </w:r>
            <w:r>
              <w:rPr>
                <w:rFonts w:ascii="Courier New" w:hAnsi="Courier New"/>
                <w:sz w:val="18"/>
              </w:rPr>
              <w:t>UsoCupom</w:t>
            </w:r>
            <w:r>
              <w:t xml:space="preserve"> por fatura e incrementando o uso. Matemática de desconto unificada com o pedido em </w:t>
            </w:r>
            <w:r>
              <w:rPr>
                <w:rFonts w:ascii="Courier New" w:hAnsi="Courier New"/>
                <w:sz w:val="18"/>
              </w:rPr>
              <w:t>AplicacaoCupom.Calcular</w:t>
            </w:r>
            <w:r>
              <w:t xml:space="preserve"> (reusa </w:t>
            </w:r>
            <w:r>
              <w:rPr>
                <w:rFonts w:ascii="Courier New" w:hAnsi="Courier New"/>
                <w:sz w:val="18"/>
              </w:rPr>
              <w:t>Cupom.Validar</w:t>
            </w:r>
            <w:r>
              <w:t>/</w:t>
            </w:r>
            <w:r>
              <w:rPr>
                <w:rFonts w:ascii="Courier New" w:hAnsi="Courier New"/>
                <w:sz w:val="18"/>
              </w:rPr>
              <w:t>CalcularDesconto</w:t>
            </w:r>
            <w:r>
              <w:t xml:space="preserve"> — sem duplicar). Default de produto: aplica o cupom vinculado à assinatura até expirar/atingir limite (ajustável).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Notificações transacionais / dunning</w:t>
            </w:r>
          </w:p>
        </w:tc>
        <w:tc>
          <w:tcPr>
            <w:tcW w:type="dxa" w:w="2880"/>
          </w:tcPr>
          <w:p>
            <w:r>
              <w:t xml:space="preserve">🔴 </w:t>
            </w:r>
            <w:r>
              <w:rPr>
                <w:b/>
              </w:rPr>
              <w:t>Construído mas QUEBRADO</w:t>
            </w:r>
          </w:p>
        </w:tc>
        <w:tc>
          <w:tcPr>
            <w:tcW w:type="dxa" w:w="2880"/>
          </w:tcPr>
          <w:p>
            <w:r>
              <w:t xml:space="preserve">A régua de cobrança </w:t>
            </w:r>
            <w:r>
              <w:rPr>
                <w:b/>
              </w:rPr>
              <w:t>monta</w:t>
            </w:r>
            <w:r>
              <w:t xml:space="preserve"> os alertas D-3/D-1/D+1/D+5/D+10/D+14 e enfileira </w:t>
            </w:r>
            <w:r>
              <w:rPr>
                <w:rFonts w:ascii="Courier New" w:hAnsi="Courier New"/>
                <w:sz w:val="18"/>
              </w:rPr>
              <w:t>FaturaAlertaCobrancaEvent</w:t>
            </w:r>
            <w:r>
              <w:t xml:space="preserve"> no Outbox (</w:t>
            </w:r>
            <w:r>
              <w:rPr>
                <w:rFonts w:ascii="Courier New" w:hAnsi="Courier New"/>
                <w:sz w:val="18"/>
              </w:rPr>
              <w:t>ReguaCobrancaJob.cs:49-100</w:t>
            </w:r>
            <w:r>
              <w:t xml:space="preserve">) — </w:t>
            </w:r>
            <w:r>
              <w:rPr>
                <w:b/>
              </w:rPr>
              <w:t>mas NADA consome</w:t>
            </w:r>
            <w:r>
              <w:t xml:space="preserve"> (não há Outbox processor no GestaoClientes) → nunca entrega. Fim de trial não notifica; recibo é registro, não e-mail/PDF. Só boas-vindas + broadcast super-admin enviam de fato.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Estorno / refund</w:t>
            </w:r>
          </w:p>
        </w:tc>
        <w:tc>
          <w:tcPr>
            <w:tcW w:type="dxa" w:w="2880"/>
          </w:tcPr>
          <w:p>
            <w:r>
              <w:t xml:space="preserve">🟢 </w:t>
            </w:r>
            <w:r>
              <w:rPr>
                <w:b/>
              </w:rPr>
              <w:t>Existe (1.08E)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EstornarPagamentoFaturaCommand</w:t>
            </w:r>
            <w:r>
              <w:t>/</w:t>
            </w:r>
            <w:r>
              <w:rPr>
                <w:rFonts w:ascii="Courier New" w:hAnsi="Courier New"/>
                <w:sz w:val="18"/>
              </w:rPr>
              <w:t>Handler</w:t>
            </w:r>
            <w:r>
              <w:t xml:space="preserve"> (área Landlord, </w:t>
            </w:r>
            <w:r>
              <w:rPr>
                <w:rFonts w:ascii="Courier New" w:hAnsi="Courier New"/>
                <w:sz w:val="18"/>
              </w:rPr>
              <w:t>POST /api/v1/plataforma/faturas/pagamentos/{id}/estornar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AbacAuthorize</w:t>
            </w:r>
            <w:r>
              <w:t xml:space="preserve"> + </w:t>
            </w:r>
            <w:r>
              <w:rPr>
                <w:rFonts w:ascii="Courier New" w:hAnsi="Courier New"/>
                <w:sz w:val="18"/>
              </w:rPr>
              <w:t>GuardaOperadorInterno</w:t>
            </w:r>
            <w:r>
              <w:t xml:space="preserve"> da 1.11). Chama o refund real do gateway (</w:t>
            </w:r>
            <w:r>
              <w:rPr>
                <w:rFonts w:ascii="Courier New" w:hAnsi="Courier New"/>
                <w:sz w:val="18"/>
              </w:rPr>
              <w:t>IPaymentGateway.EstornarPagamentoAsync</w:t>
            </w:r>
            <w:r>
              <w:t xml:space="preserve"> → MP </w:t>
            </w:r>
            <w:r>
              <w:rPr>
                <w:rFonts w:ascii="Courier New" w:hAnsi="Courier New"/>
                <w:sz w:val="18"/>
              </w:rPr>
              <w:t>POST /v1/payments/{id}/refunds</w:t>
            </w:r>
            <w:r>
              <w:t xml:space="preserve">). Efeitos: </w:t>
            </w:r>
            <w:r>
              <w:rPr>
                <w:rFonts w:ascii="Courier New" w:hAnsi="Courier New"/>
                <w:sz w:val="18"/>
              </w:rPr>
              <w:t>PagamentoFatura</w:t>
            </w:r>
            <w:r>
              <w:t>→</w:t>
            </w:r>
            <w:r>
              <w:rPr>
                <w:rFonts w:ascii="Courier New" w:hAnsi="Courier New"/>
                <w:sz w:val="18"/>
              </w:rPr>
              <w:t>Refunded</w:t>
            </w:r>
            <w:r>
              <w:t xml:space="preserve"> (+</w:t>
            </w:r>
            <w:r>
              <w:rPr>
                <w:rFonts w:ascii="Courier New" w:hAnsi="Courier New"/>
                <w:sz w:val="18"/>
              </w:rPr>
              <w:t>DataEstorno</w:t>
            </w:r>
            <w:r>
              <w:t>/</w:t>
            </w:r>
            <w:r>
              <w:rPr>
                <w:rFonts w:ascii="Courier New" w:hAnsi="Courier New"/>
                <w:sz w:val="18"/>
              </w:rPr>
              <w:t>IdentificadorEstorno</w:t>
            </w:r>
            <w:r>
              <w:t xml:space="preserve">), </w:t>
            </w:r>
            <w:r>
              <w:rPr>
                <w:rFonts w:ascii="Courier New" w:hAnsi="Courier New"/>
                <w:sz w:val="18"/>
              </w:rPr>
              <w:t>Fatura</w:t>
            </w:r>
            <w:r>
              <w:t>→</w:t>
            </w:r>
            <w:r>
              <w:rPr>
                <w:rFonts w:ascii="Courier New" w:hAnsi="Courier New"/>
                <w:sz w:val="18"/>
              </w:rPr>
              <w:t>Estornada</w:t>
            </w:r>
            <w:r>
              <w:t xml:space="preserve"> (reabre quitação), </w:t>
            </w:r>
            <w:r>
              <w:rPr>
                <w:rFonts w:ascii="Courier New" w:hAnsi="Courier New"/>
                <w:sz w:val="18"/>
              </w:rPr>
              <w:t>PedidoSaaS</w:t>
            </w:r>
            <w:r>
              <w:t>→</w:t>
            </w:r>
            <w:r>
              <w:rPr>
                <w:rFonts w:ascii="Courier New" w:hAnsi="Courier New"/>
                <w:sz w:val="18"/>
              </w:rPr>
              <w:t>Refunded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StatusSaaS</w:t>
            </w:r>
            <w:r>
              <w:t xml:space="preserve"> do tenant → </w:t>
            </w:r>
            <w:r>
              <w:rPr>
                <w:rFonts w:ascii="Courier New" w:hAnsi="Courier New"/>
                <w:sz w:val="18"/>
              </w:rPr>
              <w:t>AguardandoPagamento</w:t>
            </w:r>
            <w:r>
              <w:t xml:space="preserve">; evento </w:t>
            </w:r>
            <w:r>
              <w:rPr>
                <w:rFonts w:ascii="Courier New" w:hAnsi="Courier New"/>
                <w:sz w:val="18"/>
              </w:rPr>
              <w:t>PagamentoEstornadoEvent</w:t>
            </w:r>
            <w:r>
              <w:t xml:space="preserve"> no Outbox (processador 1.08C notifica). </w:t>
            </w:r>
            <w:r>
              <w:rPr>
                <w:b/>
              </w:rPr>
              <w:t>Idempotente</w:t>
            </w:r>
            <w:r>
              <w:t xml:space="preserve"> (estornar 2× não duplica). Sem credencial/ambiente → </w:t>
            </w:r>
            <w:r>
              <w:rPr>
                <w:b/>
              </w:rPr>
              <w:t>no-op controlado + log</w:t>
            </w:r>
            <w:r>
              <w:t xml:space="preserve"> (reverte local, sem travar); pagamento offline/manual não chama gateway. ⚠️ </w:t>
            </w:r>
            <w:r>
              <w:rPr>
                <w:b/>
              </w:rPr>
              <w:t>Efeito contábil/fiscal do estorno</w:t>
            </w:r>
            <w:r>
              <w:t xml:space="preserve"> (receita negativa, nota de crédito) </w:t>
            </w:r>
            <w:r>
              <w:rPr>
                <w:b/>
              </w:rPr>
              <w:t>= valida contador</w:t>
            </w:r>
            <w:r>
              <w:t xml:space="preserve"> (Regra #0).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PDF de fatura / boleto / recibo</w:t>
            </w:r>
          </w:p>
        </w:tc>
        <w:tc>
          <w:tcPr>
            <w:tcW w:type="dxa" w:w="2880"/>
          </w:tcPr>
          <w:p>
            <w:r>
              <w:t xml:space="preserve">🟢 </w:t>
            </w:r>
            <w:r>
              <w:rPr>
                <w:b/>
              </w:rPr>
              <w:t>Existe (1.08F)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QuestPDF (licença Community, padrão .NET) = PDF real</w:t>
            </w:r>
            <w:r>
              <w:t xml:space="preserve"> — restore do pacote OK no ambiente (não caiu para o plano B de HTML print-ready). </w:t>
            </w:r>
            <w:r>
              <w:rPr>
                <w:rFonts w:ascii="Courier New" w:hAnsi="Courier New"/>
                <w:sz w:val="18"/>
              </w:rPr>
              <w:t>IDocumentoFinanceiroRenderer</w:t>
            </w:r>
            <w:r>
              <w:t>/</w:t>
            </w:r>
            <w:r>
              <w:rPr>
                <w:rFonts w:ascii="Courier New" w:hAnsi="Courier New"/>
                <w:sz w:val="18"/>
              </w:rPr>
              <w:t>QuestPdfDocumentoFinanceiroRenderer</w:t>
            </w:r>
            <w:r>
              <w:t xml:space="preserve"> (GestaoClientes). Endpoints Landlord (herdam </w:t>
            </w:r>
            <w:r>
              <w:rPr>
                <w:rFonts w:ascii="Courier New" w:hAnsi="Courier New"/>
                <w:sz w:val="18"/>
              </w:rPr>
              <w:t>AbacAuthorize</w:t>
            </w:r>
            <w:r>
              <w:t xml:space="preserve"> SuperAdmin+Suporte Comercial da </w:t>
            </w:r>
            <w:r>
              <w:rPr>
                <w:rFonts w:ascii="Courier New" w:hAnsi="Courier New"/>
                <w:sz w:val="18"/>
              </w:rPr>
              <w:t>FaturasController</w:t>
            </w:r>
            <w:r>
              <w:t xml:space="preserve">): </w:t>
            </w:r>
            <w:r>
              <w:rPr>
                <w:rFonts w:ascii="Courier New" w:hAnsi="Courier New"/>
                <w:sz w:val="18"/>
              </w:rPr>
              <w:t>GET /api/v1/plataforma/faturas/{id}/pdf</w:t>
            </w:r>
            <w:r>
              <w:t xml:space="preserve"> → </w:t>
            </w:r>
            <w:r>
              <w:rPr>
                <w:rFonts w:ascii="Courier New" w:hAnsi="Courier New"/>
                <w:sz w:val="18"/>
              </w:rPr>
              <w:t>application/pdf</w:t>
            </w:r>
            <w:r>
              <w:t xml:space="preserve"> (nº, cliente/tenant, itens, valores, vencimento, status); </w:t>
            </w:r>
            <w:r>
              <w:rPr>
                <w:rFonts w:ascii="Courier New" w:hAnsi="Courier New"/>
                <w:sz w:val="18"/>
              </w:rPr>
              <w:t>GET .../{id}/recibo/pdf</w:t>
            </w:r>
            <w:r>
              <w:t xml:space="preserve"> → </w:t>
            </w:r>
            <w:r>
              <w:rPr>
                <w:rFonts w:ascii="Courier New" w:hAnsi="Courier New"/>
                <w:sz w:val="18"/>
              </w:rPr>
              <w:t>application/pdf</w:t>
            </w:r>
            <w:r>
              <w:t xml:space="preserve"> (nº, pagador, valor, data, meio, fatura ref); </w:t>
            </w:r>
            <w:r>
              <w:rPr>
                <w:rFonts w:ascii="Courier New" w:hAnsi="Courier New"/>
                <w:sz w:val="18"/>
              </w:rPr>
              <w:t>GET .../{id}/boleto/pdf</w:t>
            </w:r>
            <w:r>
              <w:t xml:space="preserve"> → </w:t>
            </w:r>
            <w:r>
              <w:rPr>
                <w:b/>
              </w:rPr>
              <w:t>302</w:t>
            </w:r>
            <w:r>
              <w:t xml:space="preserve"> para a URL do PDF do boleto que o </w:t>
            </w:r>
            <w:r>
              <w:rPr>
                <w:b/>
              </w:rPr>
              <w:t>gateway já hospeda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PagamentoFatura.UrlBoleto</w:t>
            </w:r>
            <w:r>
              <w:t xml:space="preserve"> do 1.08B — NÃO gera boleto do zero; 404 se não emitido). Conteúdo textual vem de fonte única (</w:t>
            </w:r>
            <w:r>
              <w:rPr>
                <w:rFonts w:ascii="Courier New" w:hAnsi="Courier New"/>
                <w:sz w:val="18"/>
              </w:rPr>
              <w:t>DocumentoFinanceiroConteudo</w:t>
            </w:r>
            <w:r>
              <w:t xml:space="preserve">) → PDF sempre carrega nº/valor. Queries </w:t>
            </w:r>
            <w:r>
              <w:rPr>
                <w:rFonts w:ascii="Courier New" w:hAnsi="Courier New"/>
                <w:sz w:val="18"/>
              </w:rPr>
              <w:t>Obter{Fatura,Recibo}PdfQuery</w:t>
            </w:r>
            <w:r>
              <w:t>/</w:t>
            </w:r>
            <w:r>
              <w:rPr>
                <w:rFonts w:ascii="Courier New" w:hAnsi="Courier New"/>
                <w:sz w:val="18"/>
              </w:rPr>
              <w:t>ObterBoletoLinkQuery</w:t>
            </w:r>
            <w:r>
              <w:t xml:space="preserve"> reusam as projeções existentes. </w:t>
            </w:r>
            <w:r>
              <w:rPr>
                <w:b/>
              </w:rPr>
              <w:t>Sem migration</w:t>
            </w:r>
            <w:r>
              <w:t xml:space="preserve"> (só leitura + render). Gancho do recibo por e-mail (1.08C) permanece: o link do PDF pode ser anexado ao </w:t>
            </w:r>
            <w:r>
              <w:rPr>
                <w:rFonts w:ascii="Courier New" w:hAnsi="Courier New"/>
                <w:sz w:val="18"/>
              </w:rPr>
              <w:t>ReciboEmitidoEvent</w:t>
            </w:r>
            <w:r>
              <w:t xml:space="preserve"> numa próxima passada. </w:t>
            </w:r>
            <w:r>
              <w:rPr>
                <w:b/>
              </w:rPr>
              <w:t>Dependência de ambiente:</w:t>
            </w:r>
            <w:r>
              <w:t xml:space="preserve"> QuestPDF depende do nativo SkiaSharp — presente aqui; em host sem a lib/sem cache do pacote, a fatia cai para HTML print-ready (</w:t>
            </w:r>
            <w:r>
              <w:rPr>
                <w:rFonts w:ascii="Courier New" w:hAnsi="Courier New"/>
                <w:sz w:val="18"/>
              </w:rPr>
              <w:t>window.print()</w:t>
            </w:r>
            <w:r>
              <w:t>) sem mudar os contratos dos endpoints.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CRM / tickets</w:t>
            </w:r>
          </w:p>
        </w:tc>
        <w:tc>
          <w:tcPr>
            <w:tcW w:type="dxa" w:w="2880"/>
          </w:tcPr>
          <w:p>
            <w:r>
              <w:t>🟢 Existe (tenant-facing)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CrmController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/api/v1/vendas/crm</w:t>
            </w:r>
            <w:r>
              <w:t xml:space="preserve">, campanhas+tickets) — mas é o CRM </w:t>
            </w:r>
            <w:r>
              <w:rPr>
                <w:b/>
              </w:rPr>
              <w:t>do tenant p/ os clientes dele</w:t>
            </w:r>
            <w:r>
              <w:t xml:space="preserve">. Relacionamento </w:t>
            </w:r>
            <w:r>
              <w:rPr>
                <w:b/>
              </w:rPr>
              <w:t>Siser↔tenant</w:t>
            </w:r>
            <w:r>
              <w:t xml:space="preserve"> (helpdesk do SaaS) é outra coisa → 🔴 ausente.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Revenda / parceiro / comissão</w:t>
            </w:r>
          </w:p>
        </w:tc>
        <w:tc>
          <w:tcPr>
            <w:tcW w:type="dxa" w:w="2880"/>
          </w:tcPr>
          <w:p>
            <w:r>
              <w:t xml:space="preserve">🟢 </w:t>
            </w:r>
            <w:r>
              <w:rPr>
                <w:b/>
              </w:rPr>
              <w:t>Mecanismo FEITO (1.08I)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RevendasController</w:t>
            </w:r>
            <w:r>
              <w:t xml:space="preserve"> + campos </w:t>
            </w:r>
            <w:r>
              <w:rPr>
                <w:rFonts w:ascii="Courier New" w:hAnsi="Courier New"/>
                <w:sz w:val="18"/>
              </w:rPr>
              <w:t>PercentualComissaoRevenda/Vendedor</w:t>
            </w:r>
            <w:r>
              <w:t xml:space="preserve"> + agora </w:t>
            </w:r>
            <w:r>
              <w:rPr>
                <w:b/>
              </w:rPr>
              <w:t>apuração parametrizável</w:t>
            </w:r>
            <w:r>
              <w:t xml:space="preserve">: </w:t>
            </w:r>
            <w:r>
              <w:rPr>
                <w:rFonts w:ascii="Courier New" w:hAnsi="Courier New"/>
                <w:sz w:val="18"/>
              </w:rPr>
              <w:t>ApuracaoComissao</w:t>
            </w:r>
            <w:r>
              <w:t>/</w:t>
            </w:r>
            <w:r>
              <w:rPr>
                <w:rFonts w:ascii="Courier New" w:hAnsi="Courier New"/>
                <w:sz w:val="18"/>
              </w:rPr>
              <w:t>ApuracaoComissaoService</w:t>
            </w:r>
            <w:r>
              <w:t xml:space="preserve"> (base bruto\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LGPD</w:t>
            </w:r>
          </w:p>
        </w:tc>
        <w:tc>
          <w:tcPr>
            <w:tcW w:type="dxa" w:w="2880"/>
          </w:tcPr>
          <w:p>
            <w:r>
              <w:t>🟡 Parcial</w:t>
            </w:r>
          </w:p>
        </w:tc>
        <w:tc>
          <w:tcPr>
            <w:tcW w:type="dxa" w:w="2880"/>
          </w:tcPr>
          <w:p>
            <w:r>
              <w:t>Anonimização de Pessoa (</w:t>
            </w:r>
            <w:r>
              <w:rPr>
                <w:rFonts w:ascii="Courier New" w:hAnsi="Courier New"/>
                <w:sz w:val="18"/>
              </w:rPr>
              <w:t>PessoaAnonimizadaEvent</w:t>
            </w:r>
            <w:r>
              <w:t>), auditoria (</w:t>
            </w:r>
            <w:r>
              <w:rPr>
                <w:rFonts w:ascii="Courier New" w:hAnsi="Courier New"/>
                <w:sz w:val="18"/>
              </w:rPr>
              <w:t>AuditMiddleware</w:t>
            </w:r>
            <w:r>
              <w:t xml:space="preserve">, art. 37), janela de export 30d (REG-021). Falta </w:t>
            </w:r>
            <w:r>
              <w:rPr>
                <w:b/>
              </w:rPr>
              <w:t>export/exclusão completa por tenant</w:t>
            </w:r>
            <w:r>
              <w:t xml:space="preserve"> (portabilidade).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Auditoria/trilha geral</w:t>
            </w:r>
          </w:p>
        </w:tc>
        <w:tc>
          <w:tcPr>
            <w:tcW w:type="dxa" w:w="2880"/>
          </w:tcPr>
          <w:p>
            <w:r>
              <w:t>🟢 Existe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AuditMiddleware</w:t>
            </w:r>
            <w:r>
              <w:t xml:space="preserve"> + trilha de impersonação (</w:t>
            </w:r>
            <w:r>
              <w:rPr>
                <w:rFonts w:ascii="Courier New" w:hAnsi="Courier New"/>
                <w:sz w:val="18"/>
              </w:rPr>
              <w:t>SessaoImpersonacao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Relatórios financeiros da operação</w:t>
            </w:r>
          </w:p>
        </w:tc>
        <w:tc>
          <w:tcPr>
            <w:tcW w:type="dxa" w:w="2880"/>
          </w:tcPr>
          <w:p>
            <w:r>
              <w:t xml:space="preserve">🟢 </w:t>
            </w:r>
            <w:r>
              <w:rPr>
                <w:b/>
              </w:rPr>
              <w:t>Existe (1.08G) — caixa/factual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RelatoriosFinanceirosLandlordController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/api/v1/plataforma/relatorios-financeiros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AbacAuthorize</w:t>
            </w:r>
            <w:r>
              <w:t xml:space="preserve"> SuperAdmin+Suporte Comercial + </w:t>
            </w:r>
            <w:r>
              <w:rPr>
                <w:rFonts w:ascii="Courier New" w:hAnsi="Courier New"/>
                <w:sz w:val="18"/>
              </w:rPr>
              <w:t>GuardaOperadorInterno</w:t>
            </w:r>
            <w:r>
              <w:t>/</w:t>
            </w:r>
            <w:r>
              <w:rPr>
                <w:rFonts w:ascii="Courier New" w:hAnsi="Courier New"/>
                <w:sz w:val="18"/>
              </w:rPr>
              <w:t>UnauthorizedAccessException</w:t>
            </w:r>
            <w:r>
              <w:t xml:space="preserve"> no handler = fail-closed). 3 relatórios agregados, cada um com query + endpoint aceitando intervalo </w:t>
            </w:r>
            <w:r>
              <w:rPr>
                <w:rFonts w:ascii="Courier New" w:hAnsi="Courier New"/>
                <w:sz w:val="18"/>
              </w:rPr>
              <w:t>[inicio, fim]</w:t>
            </w:r>
            <w:r>
              <w:t xml:space="preserve">: </w:t>
            </w:r>
            <w:r>
              <w:rPr>
                <w:b/>
              </w:rPr>
              <w:t>receita por período</w:t>
            </w:r>
            <w:r>
              <w:t xml:space="preserve"> (faturas pagas por mês — bruto = </w:t>
            </w:r>
            <w:r>
              <w:rPr>
                <w:rFonts w:ascii="Courier New" w:hAnsi="Courier New"/>
                <w:sz w:val="18"/>
              </w:rPr>
              <w:t>Fatura.Valor</w:t>
            </w:r>
            <w:r>
              <w:t xml:space="preserve">, tarifa = </w:t>
            </w:r>
            <w:r>
              <w:rPr>
                <w:rFonts w:ascii="Courier New" w:hAnsi="Courier New"/>
                <w:sz w:val="18"/>
              </w:rPr>
              <w:t>PagamentoFatura.ValorTarifa</w:t>
            </w:r>
            <w:r>
              <w:t xml:space="preserve">, líquido = bruto−tarifa), </w:t>
            </w:r>
            <w:r>
              <w:rPr>
                <w:b/>
              </w:rPr>
              <w:t>inadimplência por período</w:t>
            </w:r>
            <w:r>
              <w:t xml:space="preserve"> (faturas vencidas não pagas, por mês/tenant), </w:t>
            </w:r>
            <w:r>
              <w:rPr>
                <w:b/>
              </w:rPr>
              <w:t>comissão por período</w:t>
            </w:r>
            <w:r>
              <w:t xml:space="preserve"> (soma factual de </w:t>
            </w:r>
            <w:r>
              <w:rPr>
                <w:rFonts w:ascii="Courier New" w:hAnsi="Courier New"/>
                <w:sz w:val="18"/>
              </w:rPr>
              <w:t>ValorComissaoRevenda/Vendedor</w:t>
            </w:r>
            <w:r>
              <w:t xml:space="preserve"> por mês/revenda). Consolidado cross-tenant (</w:t>
            </w:r>
            <w:r>
              <w:rPr>
                <w:rFonts w:ascii="Courier New" w:hAnsi="Courier New"/>
                <w:sz w:val="18"/>
              </w:rPr>
              <w:t>IgnoreQueryFilters</w:t>
            </w:r>
            <w:r>
              <w:t xml:space="preserve">). ⚠️ </w:t>
            </w:r>
            <w:r>
              <w:rPr>
                <w:b/>
              </w:rPr>
              <w:t>Somatório FACTUAL (regime de CAIXA)</w:t>
            </w:r>
            <w:r>
              <w:t xml:space="preserve"> — </w:t>
            </w:r>
            <w:r>
              <w:rPr>
                <w:b/>
              </w:rPr>
              <w:t>reconhecimento de receita por competência/diferimento</w:t>
            </w:r>
            <w:r>
              <w:t xml:space="preserve"> e </w:t>
            </w:r>
            <w:r>
              <w:rPr>
                <w:b/>
              </w:rPr>
              <w:t>apuração fiscal de comissão</w:t>
            </w:r>
            <w:r>
              <w:t xml:space="preserve"> são </w:t>
            </w:r>
            <w:r>
              <w:rPr>
                <w:b/>
              </w:rPr>
              <w:t>Onda 2</w:t>
            </w:r>
            <w:r>
              <w:t xml:space="preserve"> (skill contábil + </w:t>
            </w:r>
            <w:r>
              <w:rPr>
                <w:b/>
              </w:rPr>
              <w:t>valida contador</w:t>
            </w:r>
            <w:r>
              <w:t>), NÃO calculados aqui. Sem migration (só leitura/agregação).</w:t>
            </w:r>
          </w:p>
        </w:tc>
      </w:tr>
    </w:tbl>
    <w:p/>
    <w:p>
      <w:pPr>
        <w:pStyle w:val="Heading2"/>
      </w:pPr>
      <w:r>
        <w:t>§5 — Caminho para 100% (roteiro de fechamento do módulo)</w:t>
      </w:r>
    </w:p>
    <w:p>
      <w:r>
        <w:rPr>
          <w:b/>
        </w:rPr>
        <w:t>Onda 1 — buildável já (sem dependência externa):</w:t>
      </w:r>
    </w:p>
    <w:p>
      <w:pPr>
        <w:pStyle w:val="ListNumber"/>
      </w:pPr>
      <w:r>
        <w:t xml:space="preserve">~~Mudança de plano self-service (upgrade/downgrade + proração) — </w:t>
      </w:r>
      <w:r>
        <w:rPr>
          <w:b/>
        </w:rPr>
        <w:t>gap de operação nº1</w:t>
      </w:r>
      <w:r>
        <w:t xml:space="preserve"> + </w:t>
      </w:r>
      <w:r>
        <w:rPr>
          <w:b/>
        </w:rPr>
        <w:t>cancelamento self-service</w:t>
      </w:r>
      <w:r>
        <w:t xml:space="preserve">.~~ ✅ </w:t>
      </w:r>
      <w:r>
        <w:rPr>
          <w:b/>
        </w:rPr>
        <w:t>FEITO (1.08D)</w:t>
      </w:r>
      <w:r>
        <w:t xml:space="preserve"> — endpoints </w:t>
      </w:r>
      <w:r>
        <w:rPr>
          <w:rFonts w:ascii="Courier New" w:hAnsi="Courier New"/>
          <w:sz w:val="18"/>
        </w:rPr>
        <w:t>mudar-plano</w:t>
      </w:r>
      <w:r>
        <w:t>/</w:t>
      </w:r>
      <w:r>
        <w:rPr>
          <w:rFonts w:ascii="Courier New" w:hAnsi="Courier New"/>
          <w:sz w:val="18"/>
        </w:rPr>
        <w:t>cancelar</w:t>
      </w:r>
      <w:r>
        <w:t>/</w:t>
      </w:r>
      <w:r>
        <w:rPr>
          <w:rFonts w:ascii="Courier New" w:hAnsi="Courier New"/>
          <w:sz w:val="18"/>
        </w:rPr>
        <w:t>reativar</w:t>
      </w:r>
      <w:r>
        <w:t xml:space="preserve"> (área do cliente); proração pro-rata por dias (⚠️ política = valida contador); cancelamento governado + janela 30d (REG-021) + reativação. Ver </w:t>
      </w:r>
      <w:r>
        <w:rPr>
          <w:rFonts w:ascii="Courier New" w:hAnsi="Courier New"/>
          <w:sz w:val="18"/>
        </w:rPr>
        <w:t>PEDIDOS_E_COBRANCA_SAAS/MC…§8.2</w:t>
      </w:r>
      <w:r>
        <w:t>.</w:t>
      </w:r>
    </w:p>
    <w:p>
      <w:pPr>
        <w:pStyle w:val="ListNumber"/>
      </w:pPr>
      <w:r>
        <w:t xml:space="preserve">~~Cupom nas faturas </w:t>
      </w:r>
      <w:r>
        <w:rPr>
          <w:b/>
        </w:rPr>
        <w:t>recorrentes</w:t>
      </w:r>
      <w:r>
        <w:t xml:space="preserve"> (já aplica no pedido inicial; estender à recorrência).~~ ✅ </w:t>
      </w:r>
      <w:r>
        <w:rPr>
          <w:b/>
        </w:rPr>
        <w:t>FEITO (1.08E)</w:t>
      </w:r>
      <w:r>
        <w:t xml:space="preserve"> — cupom vinculado à assinatura aplicado na fatura do ciclo (validade+limite), </w:t>
      </w:r>
      <w:r>
        <w:rPr>
          <w:rFonts w:ascii="Courier New" w:hAnsi="Courier New"/>
          <w:sz w:val="18"/>
        </w:rPr>
        <w:t>UsoCupom</w:t>
      </w:r>
      <w:r>
        <w:t xml:space="preserve"> por fatura.</w:t>
      </w:r>
    </w:p>
    <w:p>
      <w:pPr>
        <w:pStyle w:val="ListNumber"/>
      </w:pPr>
      <w:r>
        <w:rPr>
          <w:b/>
        </w:rPr>
        <w:t>Consertar o dunning</w:t>
      </w:r>
      <w:r>
        <w:t xml:space="preserve"> — criar o Outbox processor do GestaoClientes que consome </w:t>
      </w:r>
      <w:r>
        <w:rPr>
          <w:rFonts w:ascii="Courier New" w:hAnsi="Courier New"/>
          <w:sz w:val="18"/>
        </w:rPr>
        <w:t>FaturaAlertaCobrancaEvent</w:t>
      </w:r>
      <w:r>
        <w:t xml:space="preserve"> (a régua já monta, só não entrega) + notificar fim de trial + recibo por e-mail/PDF.</w:t>
      </w:r>
    </w:p>
    <w:p>
      <w:pPr>
        <w:pStyle w:val="ListNumber"/>
      </w:pPr>
      <w:r>
        <w:t xml:space="preserve">~~Métricas SaaS rebaseadas em </w:t>
      </w:r>
      <w:r>
        <w:rPr>
          <w:rFonts w:ascii="Courier New" w:hAnsi="Courier New"/>
          <w:sz w:val="18"/>
        </w:rPr>
        <w:t>AssinaturaCliente</w:t>
      </w:r>
      <w:r>
        <w:t xml:space="preserve"> + ARPU/LTV/conversão trial→pago/inadimplência agregada.~~ ✅ </w:t>
      </w:r>
      <w:r>
        <w:rPr>
          <w:b/>
        </w:rPr>
        <w:t>FEITO (1.08G)</w:t>
      </w:r>
      <w:r>
        <w:t xml:space="preserve"> — MRR rebaseado nas assinaturas ativas (normalização Mensal/Anual/Vitalícia documentada) + ARPU + conversão trial→pago (marco 1.08A) + LTV (⚠️ método = parâmetro) + inadimplência agregada no dashboard SuperAdmin (extensão aditiva, não quebra o dashboard atual). </w:t>
      </w:r>
      <w:r>
        <w:rPr>
          <w:b/>
        </w:rPr>
        <w:t>Caixa/factual.</w:t>
      </w:r>
    </w:p>
    <w:p>
      <w:pPr>
        <w:pStyle w:val="ListNumber"/>
      </w:pPr>
      <w:r>
        <w:t>~~</w:t>
      </w:r>
      <w:r>
        <w:rPr>
          <w:b/>
        </w:rPr>
        <w:t>Estorno/refund</w:t>
      </w:r>
      <w:r>
        <w:t xml:space="preserve"> (só há o enum)~~ ✅ </w:t>
      </w:r>
      <w:r>
        <w:rPr>
          <w:b/>
        </w:rPr>
        <w:t>FEITO (1.08E)</w:t>
      </w:r>
      <w:r>
        <w:t xml:space="preserve"> — command/handler Landlord + refund real no gateway + reversão pagamento/fatura/pedido/StatusSaaS + evento (⚠️ efeito contábil/fiscal = valida contador). ~~Ainda: </w:t>
      </w:r>
      <w:r>
        <w:rPr>
          <w:b/>
        </w:rPr>
        <w:t>geração de PDF</w:t>
      </w:r>
      <w:r>
        <w:t xml:space="preserve"> (fatura/boleto/recibo)~~ ✅ </w:t>
      </w:r>
      <w:r>
        <w:rPr>
          <w:b/>
        </w:rPr>
        <w:t>FEITO (1.08F)</w:t>
      </w:r>
      <w:r>
        <w:t xml:space="preserve"> — QuestPDF real (fatura/recibo em </w:t>
      </w:r>
      <w:r>
        <w:rPr>
          <w:rFonts w:ascii="Courier New" w:hAnsi="Courier New"/>
          <w:sz w:val="18"/>
        </w:rPr>
        <w:t>application/pdf</w:t>
      </w:r>
      <w:r>
        <w:t xml:space="preserve">) + boleto expõe a URL do gateway; endpoints Landlord sob </w:t>
      </w:r>
      <w:r>
        <w:rPr>
          <w:rFonts w:ascii="Courier New" w:hAnsi="Courier New"/>
          <w:sz w:val="18"/>
        </w:rPr>
        <w:t>AbacAuthorize</w:t>
      </w:r>
      <w:r>
        <w:t xml:space="preserve">; sem migration. ~~Ainda: </w:t>
      </w:r>
      <w:r>
        <w:rPr>
          <w:b/>
        </w:rPr>
        <w:t>relatórios financeiros agregados</w:t>
      </w:r>
      <w:r>
        <w:t xml:space="preserve"> (receita/inadimplência/comissão por período).~~ ✅ </w:t>
      </w:r>
      <w:r>
        <w:rPr>
          <w:b/>
        </w:rPr>
        <w:t>FEITO (1.08G)</w:t>
      </w:r>
      <w:r>
        <w:t xml:space="preserve"> — </w:t>
      </w:r>
      <w:r>
        <w:rPr>
          <w:rFonts w:ascii="Courier New" w:hAnsi="Courier New"/>
          <w:sz w:val="18"/>
        </w:rPr>
        <w:t>RelatoriosFinanceirosLandlordController</w:t>
      </w:r>
      <w:r>
        <w:t xml:space="preserve"> (receita/inadimplência/comissão por período, cada um query+endpoint com intervalo de datas); </w:t>
      </w:r>
      <w:r>
        <w:rPr>
          <w:b/>
        </w:rPr>
        <w:t>caixa/factual</w:t>
      </w:r>
      <w:r>
        <w:t xml:space="preserve"> (competência/diferimento e apuração fiscal de comissão = </w:t>
      </w:r>
      <w:r>
        <w:rPr>
          <w:b/>
        </w:rPr>
        <w:t>Onda 2 / valida contador</w:t>
      </w:r>
      <w:r>
        <w:t>); sem migration.</w:t>
      </w:r>
    </w:p>
    <w:p>
      <w:pPr>
        <w:pStyle w:val="ListNumber"/>
      </w:pPr>
      <w:r>
        <w:t xml:space="preserve">Itens (a) da MC: lock otimista, restauração soft-delete, semear </w:t>
      </w:r>
      <w:r>
        <w:rPr>
          <w:rFonts w:ascii="Courier New" w:hAnsi="Courier New"/>
          <w:sz w:val="18"/>
        </w:rPr>
        <w:t>CapacidadeRequerida</w:t>
      </w:r>
      <w:r>
        <w:t>, front por-empresa.</w:t>
      </w:r>
    </w:p>
    <w:p>
      <w:r>
        <w:rPr>
          <w:b/>
        </w:rPr>
        <w:t>Onda 2 — com as skills recém-ingeridas (marca "valida contador/advogado"):</w:t>
      </w:r>
    </w:p>
    <w:p>
      <w:pPr>
        <w:pStyle w:val="ListNumber"/>
      </w:pPr>
      <w:r>
        <w:t xml:space="preserve">~~Reconhecimento de receita (diferimento do anual) — mecanismo + parâmetros no overlay.~~ ✅ </w:t>
      </w:r>
      <w:r>
        <w:rPr>
          <w:b/>
        </w:rPr>
        <w:t>FEITO (1.08I)</w:t>
      </w:r>
      <w:r>
        <w:t xml:space="preserve"> — </w:t>
      </w:r>
      <w:r>
        <w:rPr>
          <w:rFonts w:ascii="Courier New" w:hAnsi="Courier New"/>
          <w:sz w:val="18"/>
        </w:rPr>
        <w:t>ReconhecimentoReceita</w:t>
      </w:r>
      <w:r>
        <w:t>/</w:t>
      </w:r>
      <w:r>
        <w:rPr>
          <w:rFonts w:ascii="Courier New" w:hAnsi="Courier New"/>
          <w:sz w:val="18"/>
        </w:rPr>
        <w:t>ReconhecimentoReceitaService</w:t>
      </w:r>
      <w:r>
        <w:t xml:space="preserve"> (anual = 12 avos + passivo diferido; mensal integral no mês; rotina mensal), ligado no </w:t>
      </w:r>
      <w:r>
        <w:rPr>
          <w:rFonts w:ascii="Courier New" w:hAnsi="Courier New"/>
          <w:sz w:val="18"/>
        </w:rPr>
        <w:t>FaturaLiquidacaoService</w:t>
      </w:r>
      <w:r>
        <w:t xml:space="preserve">; migration aditiva. ⚠️ contas/política = valida contador (skill </w:t>
      </w:r>
      <w:r>
        <w:rPr>
          <w:rFonts w:ascii="Courier New" w:hAnsi="Courier New"/>
          <w:sz w:val="18"/>
        </w:rPr>
        <w:t>contabil</w:t>
      </w:r>
      <w:r>
        <w:t>, CPC 47).</w:t>
      </w:r>
    </w:p>
    <w:p>
      <w:pPr>
        <w:pStyle w:val="ListNumber"/>
      </w:pPr>
      <w:r>
        <w:t xml:space="preserve">~~Apuração de comissão de revenda — mecanismo + parâmetros.~~ ✅ </w:t>
      </w:r>
      <w:r>
        <w:rPr>
          <w:b/>
        </w:rPr>
        <w:t>FEITO (1.08I)</w:t>
      </w:r>
      <w:r>
        <w:t xml:space="preserve"> — </w:t>
      </w:r>
      <w:r>
        <w:rPr>
          <w:rFonts w:ascii="Courier New" w:hAnsi="Courier New"/>
          <w:sz w:val="18"/>
        </w:rPr>
        <w:t>ApuracaoComissao</w:t>
      </w:r>
      <w:r>
        <w:t>/</w:t>
      </w:r>
      <w:r>
        <w:rPr>
          <w:rFonts w:ascii="Courier New" w:hAnsi="Courier New"/>
          <w:sz w:val="18"/>
        </w:rPr>
        <w:t>ApuracaoComissaoService</w:t>
      </w:r>
      <w:r>
        <w:t xml:space="preserve"> (base/momento = parâmetro em </w:t>
      </w:r>
      <w:r>
        <w:rPr>
          <w:rFonts w:ascii="Courier New" w:hAnsi="Courier New"/>
          <w:sz w:val="18"/>
        </w:rPr>
        <w:t>ConfiguracaoGlobal</w:t>
      </w:r>
      <w:r>
        <w:t xml:space="preserve">; % da Revenda/Vendedor; gancho de clawback). ⚠️ base/%/momento/clawback = valida contador (skill </w:t>
      </w:r>
      <w:r>
        <w:rPr>
          <w:rFonts w:ascii="Courier New" w:hAnsi="Courier New"/>
          <w:sz w:val="18"/>
        </w:rPr>
        <w:t>financeiro</w:t>
      </w:r>
      <w:r>
        <w:t>).</w:t>
      </w:r>
    </w:p>
    <w:p>
      <w:pPr>
        <w:pStyle w:val="ListNumber"/>
      </w:pPr>
      <w:r>
        <w:t xml:space="preserve">~~NFS-e da mensalidade — mecanismo; </w:t>
      </w:r>
      <w:r>
        <w:rPr>
          <w:b/>
        </w:rPr>
        <w:t>alíquota/subitem no overlay `negocio-siser`</w:t>
      </w:r>
      <w:r>
        <w:t xml:space="preserve"> (preencher com contador).~~ 🟡 </w:t>
      </w:r>
      <w:r>
        <w:rPr>
          <w:b/>
        </w:rPr>
        <w:t>MECANISMO/HOOK FEITO (1.08J)</w:t>
      </w:r>
      <w:r>
        <w:t xml:space="preserve"> — </w:t>
      </w:r>
      <w:r>
        <w:rPr>
          <w:rFonts w:ascii="Courier New" w:hAnsi="Courier New"/>
          <w:sz w:val="18"/>
        </w:rPr>
        <w:t>NfseMensalidade</w:t>
      </w:r>
      <w:r>
        <w:t>/</w:t>
      </w:r>
      <w:r>
        <w:rPr>
          <w:rFonts w:ascii="Courier New" w:hAnsi="Courier New"/>
          <w:sz w:val="18"/>
        </w:rPr>
        <w:t>NfseMensalidadeService</w:t>
      </w:r>
      <w:r>
        <w:t xml:space="preserve"> + porta </w:t>
      </w:r>
      <w:r>
        <w:rPr>
          <w:rFonts w:ascii="Courier New" w:hAnsi="Courier New"/>
          <w:sz w:val="18"/>
        </w:rPr>
        <w:t>INfseProvider</w:t>
      </w:r>
      <w:r>
        <w:t xml:space="preserve"> (default </w:t>
      </w:r>
      <w:r>
        <w:rPr>
          <w:rFonts w:ascii="Courier New" w:hAnsi="Courier New"/>
          <w:sz w:val="18"/>
        </w:rPr>
        <w:t>NfseProviderNaoConfigurado</w:t>
      </w:r>
      <w:r>
        <w:t xml:space="preserve">) + guarda fiscal (Regra #0) + endpoint Landlord de listagem; ligado no </w:t>
      </w:r>
      <w:r>
        <w:rPr>
          <w:rFonts w:ascii="Courier New" w:hAnsi="Courier New"/>
          <w:sz w:val="18"/>
        </w:rPr>
        <w:t>FaturaLiquidacaoService</w:t>
      </w:r>
      <w:r>
        <w:t xml:space="preserve"> (1 NFS-e Pendente por competência, idempotente); migration aditiva </w:t>
      </w:r>
      <w:r>
        <w:rPr>
          <w:rFonts w:ascii="Courier New" w:hAnsi="Courier New"/>
          <w:sz w:val="18"/>
        </w:rPr>
        <w:t>Implanta_1_08J_NfseMensalidade</w:t>
      </w:r>
      <w:r>
        <w:t xml:space="preserve">. Fonte: skill </w:t>
      </w:r>
      <w:r>
        <w:rPr>
          <w:rFonts w:ascii="Courier New" w:hAnsi="Courier New"/>
          <w:sz w:val="18"/>
        </w:rPr>
        <w:t>fiscal/nfse</w:t>
      </w:r>
      <w:r>
        <w:t xml:space="preserve"> (LC 116/2003 item 1.05/1.03, STF ADI 1.945/5.659). ⛔ </w:t>
      </w:r>
      <w:r>
        <w:rPr>
          <w:b/>
        </w:rPr>
        <w:t>Emissão REAL = dependência externa:</w:t>
      </w:r>
      <w:r>
        <w:t xml:space="preserve"> overlay </w:t>
      </w:r>
      <w:r>
        <w:rPr>
          <w:rFonts w:ascii="Courier New" w:hAnsi="Courier New"/>
          <w:sz w:val="18"/>
        </w:rPr>
        <w:t>negocio-siser</w:t>
      </w:r>
      <w:r>
        <w:t xml:space="preserve"> (alíquota/subitem/município — contador) + provedor municipal + certificado. Fica Pendente até então; nada inventado.</w:t>
      </w:r>
    </w:p>
    <w:p>
      <w:r>
        <w:rPr>
          <w:b/>
        </w:rPr>
        <w:t>Onda 3 — fechamento do módulo:</w:t>
      </w:r>
    </w:p>
    <w:p>
      <w:pPr>
        <w:pStyle w:val="ListNumber"/>
      </w:pPr>
      <w:r>
        <w:t>~~</w:t>
      </w:r>
      <w:r>
        <w:rPr>
          <w:b/>
        </w:rPr>
        <w:t>Host-guard do Landlord</w:t>
      </w:r>
      <w:r>
        <w:t xml:space="preserve"> (endereço separado — decisão de arquitetura da 1.04).~~ 🟢 </w:t>
      </w:r>
      <w:r>
        <w:rPr>
          <w:b/>
        </w:rPr>
        <w:t>FEITO</w:t>
      </w:r>
      <w:r>
        <w:t xml:space="preserve"> — </w:t>
      </w:r>
      <w:r>
        <w:rPr>
          <w:rFonts w:ascii="Courier New" w:hAnsi="Courier New"/>
          <w:sz w:val="18"/>
        </w:rPr>
        <w:t>HostGuardMiddleware</w:t>
      </w:r>
      <w:r>
        <w:t xml:space="preserve"> (</w:t>
      </w:r>
      <w:r>
        <w:rPr>
          <w:rFonts w:ascii="Courier New" w:hAnsi="Courier New"/>
          <w:sz w:val="18"/>
        </w:rPr>
        <w:t>src/API/Epros.API/Middlewares/HostGuardMiddleware.cs</w:t>
      </w:r>
      <w:r>
        <w:t xml:space="preserve">), registrado no </w:t>
      </w:r>
      <w:r>
        <w:rPr>
          <w:rFonts w:ascii="Courier New" w:hAnsi="Courier New"/>
          <w:sz w:val="18"/>
        </w:rPr>
        <w:t>Program.cs</w:t>
      </w:r>
      <w:r>
        <w:t xml:space="preserve"> </w:t>
      </w:r>
      <w:r>
        <w:rPr>
          <w:b/>
        </w:rPr>
        <w:t>depois</w:t>
      </w:r>
      <w:r>
        <w:t xml:space="preserve"> do roteamento/</w:t>
      </w:r>
      <w:r>
        <w:rPr>
          <w:rFonts w:ascii="Courier New" w:hAnsi="Courier New"/>
          <w:sz w:val="18"/>
        </w:rPr>
        <w:t>ExcecaoGlobalMiddleware</w:t>
      </w:r>
      <w:r>
        <w:t xml:space="preserve"> e </w:t>
      </w:r>
      <w:r>
        <w:rPr>
          <w:b/>
        </w:rPr>
        <w:t>antes</w:t>
      </w:r>
      <w:r>
        <w:t xml:space="preserve"> dos controllers. Config seção </w:t>
      </w:r>
      <w:r>
        <w:rPr>
          <w:b/>
        </w:rPr>
        <w:t>`Hosts`</w:t>
      </w:r>
      <w:r>
        <w:t xml:space="preserve">: </w:t>
      </w:r>
      <w:r>
        <w:rPr>
          <w:rFonts w:ascii="Courier New" w:hAnsi="Courier New"/>
          <w:sz w:val="18"/>
        </w:rPr>
        <w:t>Hosts:Landlord</w:t>
      </w:r>
      <w:r>
        <w:t xml:space="preserve"> (hostnames do painel Siser) + </w:t>
      </w:r>
      <w:r>
        <w:rPr>
          <w:rFonts w:ascii="Courier New" w:hAnsi="Courier New"/>
          <w:sz w:val="18"/>
        </w:rPr>
        <w:t>Hosts:Cliente</w:t>
      </w:r>
      <w:r>
        <w:t xml:space="preserve"> (opcional, ativa o guard inverso). Rotas Landlord (superadmin+restaurar, landlord/suporte, super-admin/governança, relatorios-financeiros, plataforma/faturas, installation) só respondem no host do Landlord — fora dele → </w:t>
      </w:r>
      <w:r>
        <w:rPr>
          <w:b/>
        </w:rPr>
        <w:t>404</w:t>
      </w:r>
      <w:r>
        <w:t xml:space="preserve"> (não revela a superfície). Defense-in-depth </w:t>
      </w:r>
      <w:r>
        <w:rPr>
          <w:b/>
        </w:rPr>
        <w:t>sobre</w:t>
      </w:r>
      <w:r>
        <w:t xml:space="preserve"> o gate 1.11 (</w:t>
      </w:r>
      <w:r>
        <w:rPr>
          <w:rFonts w:ascii="Courier New" w:hAnsi="Courier New"/>
          <w:sz w:val="18"/>
        </w:rPr>
        <w:t>tenant=system</w:t>
      </w:r>
      <w:r>
        <w:t>+</w:t>
      </w:r>
      <w:r>
        <w:rPr>
          <w:rFonts w:ascii="Courier New" w:hAnsi="Courier New"/>
          <w:sz w:val="18"/>
        </w:rPr>
        <w:t>perfilId=interno</w:t>
      </w:r>
      <w:r>
        <w:t xml:space="preserve">). ⚠️ </w:t>
      </w:r>
      <w:r>
        <w:rPr>
          <w:b/>
        </w:rPr>
        <w:t>Requisito de deploy:</w:t>
      </w:r>
      <w:r>
        <w:t xml:space="preserve"> </w:t>
      </w:r>
      <w:r>
        <w:rPr>
          <w:rFonts w:ascii="Courier New" w:hAnsi="Courier New"/>
          <w:sz w:val="18"/>
        </w:rPr>
        <w:t>Hosts:Landlord</w:t>
      </w:r>
      <w:r>
        <w:t xml:space="preserve"> </w:t>
      </w:r>
      <w:r>
        <w:rPr>
          <w:b/>
        </w:rPr>
        <w:t>DEVE</w:t>
      </w:r>
      <w:r>
        <w:t xml:space="preserve"> ser configurado em produção — </w:t>
      </w:r>
      <w:r>
        <w:rPr>
          <w:b/>
        </w:rPr>
        <w:t>fail-safe:</w:t>
      </w:r>
      <w:r>
        <w:t xml:space="preserve"> sem ele o host-guard fica </w:t>
      </w:r>
      <w:r>
        <w:rPr>
          <w:b/>
        </w:rPr>
        <w:t>inativo</w:t>
      </w:r>
      <w:r>
        <w:t xml:space="preserve"> (não bloqueia; dev/test seguem batendo nas rotas sem host). Testes: </w:t>
      </w:r>
      <w:r>
        <w:rPr>
          <w:rFonts w:ascii="Courier New" w:hAnsi="Courier New"/>
          <w:sz w:val="18"/>
        </w:rPr>
        <w:t>HostGuardLandlordTests</w:t>
      </w:r>
      <w:r>
        <w:t xml:space="preserve"> (host errado→404; host certo→passa; sem config→preservado). Placar: build </w:t>
      </w:r>
      <w:r>
        <w:rPr>
          <w:rFonts w:ascii="Courier New" w:hAnsi="Courier New"/>
          <w:sz w:val="18"/>
        </w:rPr>
        <w:t>Epros.sln</w:t>
      </w:r>
      <w:r>
        <w:t xml:space="preserve"> 0 erros; </w:t>
      </w:r>
      <w:r>
        <w:rPr>
          <w:b/>
        </w:rPr>
        <w:t>1037/1037</w:t>
      </w:r>
      <w:r>
        <w:t xml:space="preserve"> testes (Testcontainers).</w:t>
      </w:r>
    </w:p>
    <w:p>
      <w:pPr>
        <w:pStyle w:val="ListNumber"/>
      </w:pPr>
      <w:r>
        <w:rPr>
          <w:b/>
        </w:rPr>
        <w:t>Modelo de dados (ERD)</w:t>
      </w:r>
      <w:r>
        <w:t xml:space="preserve"> consolidado do módulo.</w:t>
      </w:r>
    </w:p>
    <w:p>
      <w:pPr>
        <w:pStyle w:val="ListNumber"/>
      </w:pPr>
      <w:r>
        <w:t>Provas de ambiente: build Nuxt (node), ponta-a-ponta MP (credencial), migrations em lote.</w:t>
      </w:r>
    </w:p>
    <w:p>
      <w:r>
        <w:rPr>
          <w:b/>
        </w:rPr>
        <w:t>Provedor de e-mail SMTP</w:t>
      </w:r>
      <w:r>
        <w:t xml:space="preserve"> e </w:t>
      </w:r>
      <w:r>
        <w:rPr>
          <w:b/>
        </w:rPr>
        <w:t>credencial Mercado Pago</w:t>
      </w:r>
      <w:r>
        <w:t xml:space="preserve"> e </w:t>
      </w:r>
      <w:r>
        <w:rPr>
          <w:b/>
        </w:rPr>
        <w:t>overlay fiscal `negocio-siser`</w:t>
      </w:r>
      <w:r>
        <w:t xml:space="preserve"> são as 3 dependências externas (suas/do contador) que destravam go-live.</w:t>
      </w:r>
    </w:p>
    <w:p>
      <w:pPr>
        <w:pStyle w:val="Heading2"/>
      </w:pPr>
      <w:r>
        <w:t>§6 — Fechamento do módulo: interações entre módulos + dependências externas</w:t>
      </w:r>
    </w:p>
    <w:p>
      <w:pPr>
        <w:pStyle w:val="Heading3"/>
      </w:pPr>
      <w:r>
        <w:t>Interações — como o APLICATIVO se liga aos outros 16 módulos</w:t>
      </w:r>
    </w:p>
    <w:p>
      <w:r>
        <w:t xml:space="preserve">O APLICATIVO é o </w:t>
      </w:r>
      <w:r>
        <w:rPr>
          <w:b/>
        </w:rPr>
        <w:t>control-plane</w:t>
      </w:r>
      <w:r>
        <w:t>: quase toda a plataforma depende dele por contratos transversais (não por chamadas diretas).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Fronteira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Quem depende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TenantId</w:t>
            </w:r>
            <w:r>
              <w:t xml:space="preserve"> (isolamento)</w:t>
            </w:r>
          </w:p>
        </w:tc>
        <w:tc>
          <w:tcPr>
            <w:tcW w:type="dxa" w:w="2880"/>
          </w:tcPr>
          <w:p>
            <w:r>
              <w:t xml:space="preserve">Toda entidade herda </w:t>
            </w:r>
            <w:r>
              <w:rPr>
                <w:rFonts w:ascii="Courier New" w:hAnsi="Courier New"/>
                <w:sz w:val="18"/>
              </w:rPr>
              <w:t>EntidadeSaaSBase</w:t>
            </w:r>
            <w:r>
              <w:t xml:space="preserve"> (TenantId) + QueryFilter + RLS Postgres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Todos</w:t>
            </w:r>
            <w:r>
              <w:t xml:space="preserve"> os módulos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Cliente = tenant / Empresa</w:t>
            </w:r>
          </w:p>
        </w:tc>
        <w:tc>
          <w:tcPr>
            <w:tcW w:type="dxa" w:w="2880"/>
          </w:tcPr>
          <w:p>
            <w:r>
              <w:t>Âncora de identidade do inquilino e da empresa operacional</w:t>
            </w:r>
          </w:p>
        </w:tc>
        <w:tc>
          <w:tcPr>
            <w:tcW w:type="dxa" w:w="2880"/>
          </w:tcPr>
          <w:p>
            <w:r>
              <w:t>Todos (Cadastros, Vendas, Financeiro…)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Autorização RBAC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AbacFilter</w:t>
            </w:r>
            <w:r>
              <w:t xml:space="preserve"> + </w:t>
            </w:r>
            <w:r>
              <w:rPr>
                <w:rFonts w:ascii="Courier New" w:hAnsi="Courier New"/>
                <w:sz w:val="18"/>
              </w:rPr>
              <w:t>ICapacidadesEfetivasService</w:t>
            </w:r>
            <w:r>
              <w:t xml:space="preserve"> (Papel+Capacidade por empresa)</w:t>
            </w:r>
          </w:p>
        </w:tc>
        <w:tc>
          <w:tcPr>
            <w:tcW w:type="dxa" w:w="2880"/>
          </w:tcPr>
          <w:p>
            <w:r>
              <w:t xml:space="preserve">Todo endpoint </w:t>
            </w:r>
            <w:r>
              <w:rPr>
                <w:rFonts w:ascii="Courier New" w:hAnsi="Courier New"/>
                <w:sz w:val="18"/>
              </w:rPr>
              <w:t>[AbacAuthorize]</w:t>
            </w:r>
            <w:r>
              <w:t xml:space="preserve"> de todos os módulos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GET /menu</w:t>
            </w:r>
            <w:r>
              <w:t xml:space="preserve"> = projeção das capacidades efetivas</w:t>
            </w:r>
          </w:p>
        </w:tc>
        <w:tc>
          <w:tcPr>
            <w:tcW w:type="dxa" w:w="2880"/>
          </w:tcPr>
          <w:p>
            <w:r>
              <w:t>Front de todos os módulos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Gating de status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InquilinoSaaSMiddleware</w:t>
            </w:r>
            <w:r>
              <w:t xml:space="preserve"> bloqueia por </w:t>
            </w:r>
            <w:r>
              <w:rPr>
                <w:rFonts w:ascii="Courier New" w:hAnsi="Courier New"/>
                <w:sz w:val="18"/>
              </w:rPr>
              <w:t>StatusSaaS</w:t>
            </w:r>
            <w:r>
              <w:t xml:space="preserve"> (trial/inadimplente/cancelado)</w:t>
            </w:r>
          </w:p>
        </w:tc>
        <w:tc>
          <w:tcPr>
            <w:tcW w:type="dxa" w:w="2880"/>
          </w:tcPr>
          <w:p>
            <w:r>
              <w:t>Todas as rotas de tenant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Entitlement de plano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ModuloTenantMiddleware</w:t>
            </w:r>
            <w:r>
              <w:t>: rota de módulo × flag do plano (403 se não contratado)</w:t>
            </w:r>
          </w:p>
        </w:tc>
        <w:tc>
          <w:tcPr>
            <w:tcW w:type="dxa" w:w="2880"/>
          </w:tcPr>
          <w:p>
            <w:r>
              <w:t>Financeiro, RH, Projetos, Vendas…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Outbox</w:t>
            </w:r>
          </w:p>
        </w:tc>
        <w:tc>
          <w:tcPr>
            <w:tcW w:type="dxa" w:w="2880"/>
          </w:tcPr>
          <w:p>
            <w:r>
              <w:t xml:space="preserve">Eventos assíncronos (o </w:t>
            </w:r>
            <w:r>
              <w:rPr>
                <w:rFonts w:ascii="Courier New" w:hAnsi="Courier New"/>
                <w:sz w:val="18"/>
              </w:rPr>
              <w:t>GestaoClientesOutboxProcessorJob</w:t>
            </w:r>
            <w:r>
              <w:t xml:space="preserve"> entrega notificações)</w:t>
            </w:r>
          </w:p>
        </w:tc>
        <w:tc>
          <w:tcPr>
            <w:tcW w:type="dxa" w:w="2880"/>
          </w:tcPr>
          <w:p>
            <w:r>
              <w:t>Compartilhado (Plataforma)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Host-guard</w:t>
            </w:r>
          </w:p>
        </w:tc>
        <w:tc>
          <w:tcPr>
            <w:tcW w:type="dxa" w:w="2880"/>
          </w:tcPr>
          <w:p>
            <w:r>
              <w:t>Rotas Landlord só no host da Siser</w:t>
            </w:r>
          </w:p>
        </w:tc>
        <w:tc>
          <w:tcPr>
            <w:tcW w:type="dxa" w:w="2880"/>
          </w:tcPr>
          <w:p>
            <w:r>
              <w:t>Superfície Landlord</w:t>
            </w:r>
          </w:p>
        </w:tc>
      </w:tr>
    </w:tbl>
    <w:p/>
    <w:p>
      <w:pPr>
        <w:pStyle w:val="IntenseQuote"/>
      </w:pPr>
      <w:r>
        <w:rPr>
          <w:b/>
        </w:rPr>
        <w:t>Consequência de fechamento:</w:t>
      </w:r>
      <w:r>
        <w:t xml:space="preserve"> os outros módulos </w:t>
      </w:r>
      <w:r>
        <w:rPr>
          <w:b/>
        </w:rPr>
        <w:t>não têm dívida de fronteira</w:t>
      </w:r>
      <w:r>
        <w:t xml:space="preserve"> com o APLICATIVO — eles apenas </w:t>
      </w:r>
      <w:r>
        <w:rPr>
          <w:b/>
        </w:rPr>
        <w:t>consomem</w:t>
      </w:r>
      <w:r>
        <w:t xml:space="preserve"> os contratos acima (que estão prontos e testados). O que cada módulo ainda deve fazer é </w:t>
      </w:r>
      <w:r>
        <w:rPr>
          <w:i/>
        </w:rPr>
        <w:t>usar</w:t>
      </w:r>
      <w:r>
        <w:t xml:space="preserve"> o entitlement/RBAC (semear permissões, declarar </w:t>
      </w:r>
      <w:r>
        <w:rPr>
          <w:rFonts w:ascii="Courier New" w:hAnsi="Courier New"/>
          <w:sz w:val="18"/>
        </w:rPr>
        <w:t>[AbacAuthorize]</w:t>
      </w:r>
      <w:r>
        <w:t xml:space="preserve">, respeitar TenantId) — isso é dívida </w:t>
      </w:r>
      <w:r>
        <w:rPr>
          <w:b/>
        </w:rPr>
        <w:t>deles</w:t>
      </w:r>
      <w:r>
        <w:t xml:space="preserve">, registrada nos respectivos </w:t>
      </w:r>
      <w:r>
        <w:rPr>
          <w:rFonts w:ascii="Courier New" w:hAnsi="Courier New"/>
          <w:sz w:val="18"/>
        </w:rPr>
        <w:t>RECON_MODULO.md</w:t>
      </w:r>
      <w:r>
        <w:t>, não do APLICATIVO.</w:t>
      </w:r>
    </w:p>
    <w:p>
      <w:pPr>
        <w:pStyle w:val="Heading3"/>
      </w:pPr>
      <w:r>
        <w:t>Declaração de fechamento (lado do código)</w:t>
      </w:r>
    </w:p>
    <w:p>
      <w:r>
        <w:t xml:space="preserve">✅ </w:t>
      </w:r>
      <w:r>
        <w:rPr>
          <w:b/>
        </w:rPr>
        <w:t>11/11 submódulos</w:t>
      </w:r>
      <w:r>
        <w:t xml:space="preserve"> · ✅ </w:t>
      </w:r>
      <w:r>
        <w:rPr>
          <w:b/>
        </w:rPr>
        <w:t>gaps de operação (§4)</w:t>
      </w:r>
      <w:r>
        <w:t xml:space="preserve"> · ✅ </w:t>
      </w:r>
      <w:r>
        <w:rPr>
          <w:b/>
        </w:rPr>
        <w:t>dívida de código (§3a)</w:t>
      </w:r>
      <w:r>
        <w:t xml:space="preserve"> · ✅ </w:t>
      </w:r>
      <w:r>
        <w:rPr>
          <w:b/>
        </w:rPr>
        <w:t>Onda 2 mecanismo (§3b, valida-contador)</w:t>
      </w:r>
      <w:r>
        <w:t xml:space="preserve"> · ✅ </w:t>
      </w:r>
      <w:r>
        <w:rPr>
          <w:b/>
        </w:rPr>
        <w:t>host-guard</w:t>
      </w:r>
      <w:r>
        <w:t xml:space="preserve"> · ✅ </w:t>
      </w:r>
      <w:r>
        <w:rPr>
          <w:b/>
        </w:rPr>
        <w:t>MANUAL_CENTRAL + 11 MANUAIS as-built + MODELO_DADOS/ERD + wiki viva</w:t>
      </w:r>
      <w:r>
        <w:t xml:space="preserve">. </w:t>
      </w:r>
      <w:r>
        <w:rPr>
          <w:b/>
        </w:rPr>
        <w:t>1044 testes</w:t>
      </w:r>
      <w:r>
        <w:t xml:space="preserve"> verdes. </w:t>
      </w:r>
      <w:r>
        <w:rPr>
          <w:b/>
        </w:rPr>
        <w:t>MC de código = vazia.</w:t>
      </w:r>
    </w:p>
    <w:p>
      <w:pPr>
        <w:pStyle w:val="Heading3"/>
      </w:pPr>
      <w:r>
        <w:t>O que impede o "100% em produção" (NÃO é código — não fecha martelando)</w:t>
      </w:r>
    </w:p>
    <w:p>
      <w:pPr>
        <w:pStyle w:val="ListNumber"/>
      </w:pPr>
      <w:r>
        <w:rPr>
          <w:b/>
        </w:rPr>
        <w:t>Ambiente:</w:t>
      </w:r>
      <w:r>
        <w:t xml:space="preserve"> prova do build </w:t>
      </w:r>
      <w:r>
        <w:rPr>
          <w:b/>
        </w:rPr>
        <w:t>Nuxt</w:t>
      </w:r>
      <w:r>
        <w:t xml:space="preserve"> (falta </w:t>
      </w:r>
      <w:r>
        <w:rPr>
          <w:rFonts w:ascii="Courier New" w:hAnsi="Courier New"/>
          <w:sz w:val="18"/>
        </w:rPr>
        <w:t>node</w:t>
      </w:r>
      <w:r>
        <w:t xml:space="preserve">); ponta-a-ponta </w:t>
      </w:r>
      <w:r>
        <w:rPr>
          <w:b/>
        </w:rPr>
        <w:t>cartão/boleto/checkout</w:t>
      </w:r>
      <w:r>
        <w:t xml:space="preserve"> (credencial </w:t>
      </w:r>
      <w:r>
        <w:rPr>
          <w:b/>
        </w:rPr>
        <w:t>Mercado Pago</w:t>
      </w:r>
      <w:r>
        <w:t xml:space="preserve">); </w:t>
      </w:r>
      <w:r>
        <w:rPr>
          <w:b/>
        </w:rPr>
        <w:t>migrations</w:t>
      </w:r>
      <w:r>
        <w:t xml:space="preserve"> aplicadas a banco persistente + smoke; deploy com papel </w:t>
      </w:r>
      <w:r>
        <w:rPr>
          <w:b/>
        </w:rPr>
        <w:t>NOSUPERUSER/NOBYPASSRLS</w:t>
      </w:r>
      <w:r>
        <w:t xml:space="preserve">, </w:t>
      </w:r>
      <w:r>
        <w:rPr>
          <w:b/>
        </w:rPr>
        <w:t>Hosts:Landlord</w:t>
      </w:r>
      <w:r>
        <w:t xml:space="preserve"> e provedor </w:t>
      </w:r>
      <w:r>
        <w:rPr>
          <w:b/>
        </w:rPr>
        <w:t>SMTP</w:t>
      </w:r>
      <w:r>
        <w:t>.</w:t>
      </w:r>
    </w:p>
    <w:p>
      <w:pPr>
        <w:pStyle w:val="ListNumber"/>
      </w:pPr>
      <w:r>
        <w:rPr>
          <w:b/>
        </w:rPr>
        <w:t>Contador / overlay `negocio-siser` (vazio):</w:t>
      </w:r>
      <w:r>
        <w:t xml:space="preserve"> alíquota/subitem </w:t>
      </w:r>
      <w:r>
        <w:rPr>
          <w:b/>
        </w:rPr>
        <w:t>NFS-e</w:t>
      </w:r>
      <w:r>
        <w:t xml:space="preserve"> (LC116 1.05/1.03) + município; </w:t>
      </w:r>
      <w:r>
        <w:rPr>
          <w:b/>
        </w:rPr>
        <w:t>política de proração</w:t>
      </w:r>
      <w:r>
        <w:t xml:space="preserve"> e </w:t>
      </w:r>
      <w:r>
        <w:rPr>
          <w:b/>
        </w:rPr>
        <w:t>base/%/momento de comissão</w:t>
      </w:r>
      <w:r>
        <w:t xml:space="preserve">; efeito contábil/fiscal do </w:t>
      </w:r>
      <w:r>
        <w:rPr>
          <w:b/>
        </w:rPr>
        <w:t>estorno</w:t>
      </w:r>
      <w:r>
        <w:t>.</w:t>
      </w:r>
    </w:p>
    <w:p>
      <w:pPr>
        <w:pStyle w:val="ListNumber"/>
      </w:pPr>
      <w:r>
        <w:rPr>
          <w:b/>
        </w:rPr>
        <w:t>Front residual:</w:t>
      </w:r>
      <w:r>
        <w:t xml:space="preserve"> atribuir </w:t>
      </w:r>
      <w:r>
        <w:rPr>
          <w:b/>
        </w:rPr>
        <w:t>papel por empresa</w:t>
      </w:r>
      <w:r>
        <w:t xml:space="preserve"> na tela (o </w:t>
      </w:r>
      <w:r>
        <w:rPr>
          <w:rFonts w:ascii="Courier New" w:hAnsi="Courier New"/>
          <w:sz w:val="18"/>
        </w:rPr>
        <w:t>.vue</w:t>
      </w:r>
      <w:r>
        <w:t xml:space="preserve"> existe; falta a prova de build).</w:t>
      </w:r>
    </w:p>
    <w:p>
      <w:r>
        <w:t xml:space="preserve">Essas 3 saem do </w:t>
      </w:r>
      <w:r>
        <w:rPr>
          <w:b/>
        </w:rPr>
        <w:t>chat de produto</w:t>
      </w:r>
      <w:r>
        <w:t xml:space="preserve"> (decisões/contador) e do </w:t>
      </w:r>
      <w:r>
        <w:rPr>
          <w:b/>
        </w:rPr>
        <w:t>deploy</w:t>
      </w:r>
      <w:r>
        <w:t xml:space="preserve"> (infra) — não do desenvolvimento.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