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— IDENTIDADE_E_CONTEXTO_TENANT (versão implantada V1)</w:t>
      </w:r>
    </w:p>
    <w:p>
      <w:pPr>
        <w:pStyle w:val="IntenseQuote"/>
      </w:pPr>
      <w:r>
        <w:rPr>
          <w:b/>
        </w:rPr>
        <w:t>Para que serve este documento.</w:t>
      </w:r>
      <w:r>
        <w:t xml:space="preserve"> A EF diz </w:t>
      </w:r>
      <w:r>
        <w:rPr>
          <w:i/>
        </w:rPr>
        <w:t>o que o submódulo deve fazer</w:t>
      </w:r>
      <w:r>
        <w:t xml:space="preserve"> (contrato); a MC diz </w:t>
      </w:r>
      <w:r>
        <w:rPr>
          <w:i/>
        </w:rPr>
        <w:t>o que ainda falta</w:t>
      </w:r>
      <w:r>
        <w:t>;</w:t>
      </w:r>
    </w:p>
    <w:p>
      <w:pPr>
        <w:pStyle w:val="IntenseQuote"/>
      </w:pPr>
      <w:r>
        <w:t xml:space="preserve">este </w:t>
      </w:r>
      <w:r>
        <w:rPr>
          <w:b/>
        </w:rPr>
        <w:t>MANUAL diz o que FOI construído e por quê</w:t>
      </w:r>
      <w:r>
        <w:t xml:space="preserve"> — a lógica, os relacionamentos com outros módulos, os campos e o</w:t>
      </w:r>
    </w:p>
    <w:p>
      <w:pPr>
        <w:pStyle w:val="IntenseQuote"/>
      </w:pPr>
      <w:r>
        <w:t>comportamento real no EprosERP. É a base para entender o submódulo sem ler o código. Reflete a implantação V1 pós-merge</w:t>
      </w:r>
    </w:p>
    <w:p>
      <w:pPr>
        <w:pStyle w:val="IntenseQuote"/>
      </w:pPr>
      <w:r>
        <w:rPr>
          <w:rFonts w:ascii="Courier New" w:hAnsi="Courier New"/>
          <w:sz w:val="18"/>
        </w:rPr>
        <w:t>pente-fino/aplicativo</w:t>
      </w:r>
      <w:r>
        <w:t xml:space="preserve"> (migrations </w:t>
      </w:r>
      <w:r>
        <w:rPr>
          <w:rFonts w:ascii="Courier New" w:hAnsi="Courier New"/>
          <w:sz w:val="18"/>
        </w:rPr>
        <w:t>Fixes_1_04_Identidade_Seguranca</w:t>
      </w:r>
      <w:r>
        <w:t xml:space="preserve"> + </w:t>
      </w:r>
      <w:r>
        <w:rPr>
          <w:rFonts w:ascii="Courier New" w:hAnsi="Courier New"/>
          <w:sz w:val="18"/>
        </w:rPr>
        <w:t>Implanta_1_04_LoginSocial</w:t>
      </w:r>
      <w:r>
        <w:t xml:space="preserve"> +</w:t>
      </w:r>
    </w:p>
    <w:p>
      <w:pPr>
        <w:pStyle w:val="IntenseQuote"/>
      </w:pPr>
      <w:r>
        <w:rPr>
          <w:rFonts w:ascii="Courier New" w:hAnsi="Courier New"/>
          <w:sz w:val="18"/>
        </w:rPr>
        <w:t>AddAuthCrossTenantRlsPolicies</w:t>
      </w:r>
      <w:r>
        <w:t>).</w:t>
      </w:r>
    </w:p>
    <w:p>
      <w:pPr>
        <w:pStyle w:val="Heading2"/>
      </w:pPr>
      <w:r>
        <w:t>1. O que o submódulo faz</w:t>
      </w:r>
    </w:p>
    <w:p>
      <w:r>
        <w:t xml:space="preserve">Administra a </w:t>
      </w:r>
      <w:r>
        <w:rPr>
          <w:b/>
        </w:rPr>
        <w:t>identidade global</w:t>
      </w:r>
      <w:r>
        <w:t xml:space="preserve"> do usuário do Epros e o </w:t>
      </w:r>
      <w:r>
        <w:rPr>
          <w:b/>
        </w:rPr>
        <w:t>contexto da sessão</w:t>
      </w:r>
      <w:r>
        <w:t>. O login é global (uma pessoa = um</w:t>
      </w:r>
    </w:p>
    <w:p>
      <w:r>
        <w:rPr>
          <w:rFonts w:ascii="Courier New" w:hAnsi="Courier New"/>
          <w:sz w:val="18"/>
        </w:rPr>
        <w:t>Usuario</w:t>
      </w:r>
      <w:r>
        <w:t xml:space="preserve">, e-mail único cross-tenant); a partir dele, o usuário tem acesso </w:t>
      </w:r>
      <w:r>
        <w:rPr>
          <w:b/>
        </w:rPr>
        <w:t>N:N a tenants</w:t>
      </w:r>
      <w:r>
        <w:t xml:space="preserve"> (</w:t>
      </w:r>
      <w:r>
        <w:rPr>
          <w:rFonts w:ascii="Courier New" w:hAnsi="Courier New"/>
          <w:sz w:val="18"/>
        </w:rPr>
        <w:t>AcessoUsuarioTenant</w:t>
      </w:r>
      <w:r>
        <w:t>) e</w:t>
      </w:r>
    </w:p>
    <w:p>
      <w:r>
        <w:t>escolhe tenant/empresa que passam a escopar tudo via claims do JWT. Cobre autenticação (senha/PBKDF2 + JWT assinado),</w:t>
      </w:r>
    </w:p>
    <w:p>
      <w:r>
        <w:t>sessão revogável (logout real), recuperação/troca de senha, cadastro self-service de tenant, login social OAuth</w:t>
      </w:r>
    </w:p>
    <w:p>
      <w:r>
        <w:t>(Google/Microsoft), acesso Landlord (Siser) com perfis de suporte + impersonação auditada, e as fundações de PAT/ApiKey e</w:t>
      </w:r>
    </w:p>
    <w:p>
      <w:r>
        <w:t xml:space="preserve">MFA. É a porta de entrada de todo o ERP: define </w:t>
      </w:r>
      <w:r>
        <w:rPr>
          <w:b/>
        </w:rPr>
        <w:t>quem é</w:t>
      </w:r>
      <w:r>
        <w:t xml:space="preserve"> o usuário e </w:t>
      </w:r>
      <w:r>
        <w:rPr>
          <w:b/>
        </w:rPr>
        <w:t>em que tenant/empresa</w:t>
      </w:r>
      <w:r>
        <w:t xml:space="preserve"> ele opera.</w:t>
      </w:r>
    </w:p>
    <w:p>
      <w:pPr>
        <w:pStyle w:val="Heading2"/>
      </w:pPr>
      <w:r>
        <w:t>2. Onde vive no código</w:t>
      </w:r>
    </w:p>
    <w:p>
      <w:pPr>
        <w:pStyle w:val="ListBullet"/>
      </w:pPr>
      <w:r>
        <w:rPr>
          <w:b/>
        </w:rPr>
        <w:t>`src/Modules/Epros.Modules.Aplicativo/Domain/Entities`</w:t>
      </w:r>
      <w:r>
        <w:t xml:space="preserve"> — </w:t>
      </w:r>
      <w:r>
        <w:rPr>
          <w:rFonts w:ascii="Courier New" w:hAnsi="Courier New"/>
          <w:sz w:val="18"/>
        </w:rPr>
        <w:t>Usuario</w:t>
      </w:r>
      <w:r>
        <w:t xml:space="preserve">, </w:t>
      </w:r>
      <w:r>
        <w:rPr>
          <w:rFonts w:ascii="Courier New" w:hAnsi="Courier New"/>
          <w:sz w:val="18"/>
        </w:rPr>
        <w:t>AcessoUsuarioTenant</w:t>
      </w:r>
      <w:r>
        <w:t xml:space="preserve">, </w:t>
      </w:r>
      <w:r>
        <w:rPr>
          <w:rFonts w:ascii="Courier New" w:hAnsi="Courier New"/>
          <w:sz w:val="18"/>
        </w:rPr>
        <w:t>SessaoUsuario</w:t>
      </w:r>
      <w:r>
        <w:t>,</w:t>
      </w:r>
    </w:p>
    <w:p>
      <w:r>
        <w:t xml:space="preserve">  </w:t>
      </w:r>
      <w:r>
        <w:rPr>
          <w:rFonts w:ascii="Courier New" w:hAnsi="Courier New"/>
          <w:sz w:val="18"/>
        </w:rPr>
        <w:t>IdentidadeExterna</w:t>
      </w:r>
      <w:r>
        <w:t xml:space="preserve">, </w:t>
      </w:r>
      <w:r>
        <w:rPr>
          <w:rFonts w:ascii="Courier New" w:hAnsi="Courier New"/>
          <w:sz w:val="18"/>
        </w:rPr>
        <w:t>PersonalAccessToken</w:t>
      </w:r>
      <w:r>
        <w:t xml:space="preserve">, </w:t>
      </w:r>
      <w:r>
        <w:rPr>
          <w:rFonts w:ascii="Courier New" w:hAnsi="Courier New"/>
          <w:sz w:val="18"/>
        </w:rPr>
        <w:t>UsuarioInterno</w:t>
      </w:r>
      <w:r>
        <w:t xml:space="preserve">, </w:t>
      </w:r>
      <w:r>
        <w:rPr>
          <w:rFonts w:ascii="Courier New" w:hAnsi="Courier New"/>
          <w:sz w:val="18"/>
        </w:rPr>
        <w:t>SessaoImpersonacao</w:t>
      </w:r>
      <w:r>
        <w:t xml:space="preserve">, </w:t>
      </w:r>
      <w:r>
        <w:rPr>
          <w:rFonts w:ascii="Courier New" w:hAnsi="Courier New"/>
          <w:sz w:val="18"/>
        </w:rPr>
        <w:t>HistoricoLogin</w:t>
      </w:r>
      <w:r>
        <w:t xml:space="preserve">, </w:t>
      </w:r>
      <w:r>
        <w:rPr>
          <w:rFonts w:ascii="Courier New" w:hAnsi="Courier New"/>
          <w:sz w:val="18"/>
        </w:rPr>
        <w:t>UsuarioEmpresa</w:t>
      </w:r>
      <w:r>
        <w:t>,</w:t>
      </w:r>
    </w:p>
    <w:p>
      <w:r>
        <w:t xml:space="preserve">  </w:t>
      </w:r>
      <w:r>
        <w:rPr>
          <w:rFonts w:ascii="Courier New" w:hAnsi="Courier New"/>
          <w:sz w:val="18"/>
        </w:rPr>
        <w:t>BannedIp</w:t>
      </w:r>
      <w:r>
        <w:t xml:space="preserve">, </w:t>
      </w:r>
      <w:r>
        <w:rPr>
          <w:rFonts w:ascii="Courier New" w:hAnsi="Courier New"/>
          <w:sz w:val="18"/>
        </w:rPr>
        <w:t>PreferenciaUsuario</w:t>
      </w:r>
      <w:r>
        <w:t>.</w:t>
      </w:r>
    </w:p>
    <w:p>
      <w:pPr>
        <w:pStyle w:val="ListBullet"/>
      </w:pPr>
      <w:r>
        <w:rPr>
          <w:b/>
        </w:rPr>
        <w:t>`.../Application/Handlers`</w:t>
      </w:r>
      <w:r>
        <w:t xml:space="preserve"> — </w:t>
      </w:r>
      <w:r>
        <w:rPr>
          <w:rFonts w:ascii="Courier New" w:hAnsi="Courier New"/>
          <w:sz w:val="18"/>
        </w:rPr>
        <w:t>AuthHandlers.cs</w:t>
      </w:r>
      <w:r>
        <w:t xml:space="preserve"> (login/logout/reset/registro + </w:t>
      </w:r>
      <w:r>
        <w:rPr>
          <w:rFonts w:ascii="Courier New" w:hAnsi="Courier New"/>
          <w:sz w:val="18"/>
        </w:rPr>
        <w:t>AcessoMultiTenant</w:t>
      </w:r>
      <w:r>
        <w:t>),</w:t>
      </w:r>
    </w:p>
    <w:p>
      <w:r>
        <w:t xml:space="preserve">  </w:t>
      </w:r>
      <w:r>
        <w:rPr>
          <w:rFonts w:ascii="Courier New" w:hAnsi="Courier New"/>
          <w:sz w:val="18"/>
        </w:rPr>
        <w:t>SocialAuthHandlers.cs</w:t>
      </w:r>
      <w:r>
        <w:t xml:space="preserve">, </w:t>
      </w:r>
      <w:r>
        <w:rPr>
          <w:rFonts w:ascii="Courier New" w:hAnsi="Courier New"/>
          <w:sz w:val="18"/>
        </w:rPr>
        <w:t>SessaoQueryHandlers.cs</w:t>
      </w:r>
      <w:r>
        <w:t xml:space="preserve">, </w:t>
      </w:r>
      <w:r>
        <w:rPr>
          <w:rFonts w:ascii="Courier New" w:hAnsi="Courier New"/>
          <w:sz w:val="18"/>
        </w:rPr>
        <w:t>UsuarioHandlers.cs</w:t>
      </w:r>
      <w:r>
        <w:t xml:space="preserve"> (impersonação), </w:t>
      </w:r>
      <w:r>
        <w:rPr>
          <w:rFonts w:ascii="Courier New" w:hAnsi="Courier New"/>
          <w:sz w:val="18"/>
        </w:rPr>
        <w:t>UsuarioInternoHandlers.cs</w:t>
      </w:r>
      <w:r>
        <w:t>.</w:t>
      </w:r>
    </w:p>
    <w:p>
      <w:pPr>
        <w:pStyle w:val="ListBullet"/>
      </w:pPr>
      <w:r>
        <w:rPr>
          <w:b/>
        </w:rPr>
        <w:t>`.../Infrastructure/Data/ContextAplicativo.cs`</w:t>
      </w:r>
      <w:r>
        <w:t xml:space="preserve"> — schema </w:t>
      </w:r>
      <w:r>
        <w:rPr>
          <w:rFonts w:ascii="Courier New" w:hAnsi="Courier New"/>
          <w:sz w:val="18"/>
        </w:rPr>
        <w:t>aplicativo</w:t>
      </w:r>
      <w:r>
        <w:t>, índices e unicidades.</w:t>
      </w:r>
    </w:p>
    <w:p>
      <w:pPr>
        <w:pStyle w:val="ListBullet"/>
      </w:pPr>
      <w:r>
        <w:rPr>
          <w:b/>
        </w:rPr>
        <w:t>`src/Shared/Epros.Shared/Security/EprosTokenService.cs`</w:t>
      </w:r>
      <w:r>
        <w:t xml:space="preserve"> — emissão/validação do JWT.</w:t>
      </w:r>
    </w:p>
    <w:p>
      <w:pPr>
        <w:pStyle w:val="ListBullet"/>
      </w:pPr>
      <w:r>
        <w:rPr>
          <w:b/>
        </w:rPr>
        <w:t>`src/API/Epros.API/Security/EprosTokenAuthenticationHandler.cs`</w:t>
      </w:r>
      <w:r>
        <w:t xml:space="preserve"> — autenticação na borda + enforcement de logout.</w:t>
      </w:r>
    </w:p>
    <w:p>
      <w:pPr>
        <w:pStyle w:val="ListBullet"/>
      </w:pPr>
      <w:r>
        <w:rPr>
          <w:b/>
        </w:rPr>
        <w:t>`src/API/Epros.API/Controllers`</w:t>
      </w:r>
      <w:r>
        <w:t xml:space="preserve"> — </w:t>
      </w:r>
      <w:r>
        <w:rPr>
          <w:rFonts w:ascii="Courier New" w:hAnsi="Courier New"/>
          <w:sz w:val="18"/>
        </w:rPr>
        <w:t>AuthController</w:t>
      </w:r>
      <w:r>
        <w:t xml:space="preserve">, </w:t>
      </w:r>
      <w:r>
        <w:rPr>
          <w:rFonts w:ascii="Courier New" w:hAnsi="Courier New"/>
          <w:sz w:val="18"/>
        </w:rPr>
        <w:t>AccountController</w:t>
      </w:r>
      <w:r>
        <w:t xml:space="preserve">, </w:t>
      </w:r>
      <w:r>
        <w:rPr>
          <w:rFonts w:ascii="Courier New" w:hAnsi="Courier New"/>
          <w:sz w:val="18"/>
        </w:rPr>
        <w:t>SuperAdminController</w:t>
      </w:r>
      <w:r>
        <w:t>,</w:t>
      </w:r>
    </w:p>
    <w:p>
      <w:r>
        <w:t xml:space="preserve">  </w:t>
      </w:r>
      <w:r>
        <w:rPr>
          <w:rFonts w:ascii="Courier New" w:hAnsi="Courier New"/>
          <w:sz w:val="18"/>
        </w:rPr>
        <w:t>LandlordSuporteController</w:t>
      </w:r>
      <w:r>
        <w:t xml:space="preserve">, </w:t>
      </w:r>
      <w:r>
        <w:rPr>
          <w:rFonts w:ascii="Courier New" w:hAnsi="Courier New"/>
          <w:sz w:val="18"/>
        </w:rPr>
        <w:t>UsuariosController</w:t>
      </w:r>
      <w:r>
        <w:t xml:space="preserve"> (rota base </w:t>
      </w:r>
      <w:r>
        <w:rPr>
          <w:rFonts w:ascii="Courier New" w:hAnsi="Courier New"/>
          <w:sz w:val="18"/>
        </w:rPr>
        <w:t>/api/v1/...</w:t>
      </w:r>
      <w:r>
        <w:t>).</w:t>
      </w:r>
    </w:p>
    <w:p>
      <w:pPr>
        <w:pStyle w:val="ListBullet"/>
      </w:pPr>
      <w:r>
        <w:rPr>
          <w:b/>
        </w:rPr>
        <w:t>`src/API/Epros.API/Middlewares/InquilinoSaaSMiddleware.cs`</w:t>
      </w:r>
      <w:r>
        <w:t xml:space="preserve"> — resolução do tenant a partir da claim.</w:t>
      </w:r>
    </w:p>
    <w:p>
      <w:pPr>
        <w:pStyle w:val="Heading2"/>
      </w:pPr>
      <w:r>
        <w:t>3. Entidades e campos (o que foi implantado)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Entidade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Campos-chave (com o que a V1 adicionou em </w:t>
            </w:r>
            <w:r>
              <w:rPr>
                <w:b/>
              </w:rPr>
              <w:t>negrito</w:t>
            </w:r>
            <w:r>
              <w:rPr>
                <w:b/>
              </w:rPr>
              <w:t>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Papel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Usuario</w:t>
            </w:r>
            <w:r>
              <w:t xml:space="preserve"> </w:t>
            </w:r>
            <w:r>
              <w:rPr>
                <w:i/>
              </w:rPr>
              <w:t>(schema `aplicativo`)</w:t>
            </w:r>
          </w:p>
        </w:tc>
        <w:tc>
          <w:tcPr>
            <w:tcW w:type="dxa" w:w="2880"/>
          </w:tcPr>
          <w:p>
            <w:r>
              <w:t xml:space="preserve">Nome, Login </w:t>
            </w:r>
            <w:r>
              <w:rPr>
                <w:rFonts w:ascii="Courier New" w:hAnsi="Courier New"/>
                <w:sz w:val="18"/>
              </w:rPr>
              <w:t>varchar(20)</w:t>
            </w:r>
            <w:r>
              <w:t>, Email (</w:t>
            </w:r>
            <w:r>
              <w:rPr>
                <w:b/>
              </w:rPr>
              <w:t>único global</w:t>
            </w:r>
            <w:r>
              <w:t xml:space="preserve"> </w:t>
            </w:r>
            <w:r>
              <w:rPr>
                <w:rFonts w:ascii="Courier New" w:hAnsi="Courier New"/>
                <w:sz w:val="18"/>
              </w:rPr>
              <w:t>ix_usuarios_email</w:t>
            </w:r>
            <w:r>
              <w:t>), PasswordHash (PBKDF2), Telefone, MfaHabilitado, Status (Active/Pending/Disabled/Suspended), Tipo (Company/Team/Client), ForcarTrocaSenha, AccessFailedCount, LockoutEnd, ForgotPasswordToken/Expiry, ApiKey(+Created/Expiration/LastUsed/RateLimit), SequenciaExibicao</w:t>
            </w:r>
          </w:p>
        </w:tc>
        <w:tc>
          <w:tcPr>
            <w:tcW w:type="dxa" w:w="2880"/>
          </w:tcPr>
          <w:p>
            <w:r>
              <w:t>Identidade global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AcessoUsuarioTenant</w:t>
            </w:r>
          </w:p>
        </w:tc>
        <w:tc>
          <w:tcPr>
            <w:tcW w:type="dxa" w:w="2880"/>
          </w:tcPr>
          <w:p>
            <w:r>
              <w:t xml:space="preserve">UsuarioId, TenantId (tenant concedido), </w:t>
            </w:r>
            <w:r>
              <w:rPr>
                <w:b/>
              </w:rPr>
              <w:t>Papel (Proprietario/Membro/ContadorParceiro)</w:t>
            </w:r>
            <w:r>
              <w:t xml:space="preserve">, Ativo; </w:t>
            </w:r>
            <w:r>
              <w:rPr>
                <w:b/>
              </w:rPr>
              <w:t>único (UsuarioId, TenantId)</w:t>
            </w:r>
          </w:p>
        </w:tc>
        <w:tc>
          <w:tcPr>
            <w:tcW w:type="dxa" w:w="2880"/>
          </w:tcPr>
          <w:p>
            <w:r>
              <w:t>Membership N:N usuário↔tenant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SessaoUsuario</w:t>
            </w:r>
          </w:p>
        </w:tc>
        <w:tc>
          <w:tcPr>
            <w:tcW w:type="dxa" w:w="2880"/>
          </w:tcPr>
          <w:p>
            <w:r>
              <w:t xml:space="preserve">UsuarioId, TokenSessao (único), </w:t>
            </w:r>
            <w:r>
              <w:rPr>
                <w:b/>
              </w:rPr>
              <w:t>Jti (liga ao JWT)</w:t>
            </w:r>
            <w:r>
              <w:t xml:space="preserve">, IpAddress, UserAgent, Expiracao, Revogado; </w:t>
            </w:r>
            <w:r>
              <w:rPr>
                <w:rFonts w:ascii="Courier New" w:hAnsi="Courier New"/>
                <w:sz w:val="18"/>
              </w:rPr>
              <w:t>Revogar()</w:t>
            </w:r>
            <w:r>
              <w:t>/</w:t>
            </w:r>
            <w:r>
              <w:rPr>
                <w:rFonts w:ascii="Courier New" w:hAnsi="Courier New"/>
                <w:sz w:val="18"/>
              </w:rPr>
              <w:t>EstaValida()</w:t>
            </w:r>
            <w:r>
              <w:t xml:space="preserve">; é </w:t>
            </w:r>
            <w:r>
              <w:rPr>
                <w:rFonts w:ascii="Courier New" w:hAnsi="Courier New"/>
                <w:sz w:val="18"/>
              </w:rPr>
              <w:t>IHardDeletable</w:t>
            </w:r>
          </w:p>
        </w:tc>
        <w:tc>
          <w:tcPr>
            <w:tcW w:type="dxa" w:w="2880"/>
          </w:tcPr>
          <w:p>
            <w:r>
              <w:t>Sessão revogável (logout)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IdentidadeExterna</w:t>
            </w:r>
            <w:r>
              <w:t xml:space="preserve"> </w:t>
            </w:r>
            <w:r>
              <w:rPr>
                <w:i/>
              </w:rPr>
              <w:t>(novo)</w:t>
            </w:r>
          </w:p>
        </w:tc>
        <w:tc>
          <w:tcPr>
            <w:tcW w:type="dxa" w:w="2880"/>
          </w:tcPr>
          <w:p>
            <w:r>
              <w:t xml:space="preserve">UsuarioId, </w:t>
            </w:r>
            <w:r>
              <w:rPr>
                <w:b/>
              </w:rPr>
              <w:t>Provedor (Google/Microsoft)</w:t>
            </w:r>
            <w:r>
              <w:t xml:space="preserve">, </w:t>
            </w:r>
            <w:r>
              <w:rPr>
                <w:b/>
              </w:rPr>
              <w:t>SubjectId</w:t>
            </w:r>
            <w:r>
              <w:t xml:space="preserve"> (claim </w:t>
            </w:r>
            <w:r>
              <w:rPr>
                <w:rFonts w:ascii="Courier New" w:hAnsi="Courier New"/>
                <w:sz w:val="18"/>
              </w:rPr>
              <w:t>sub</w:t>
            </w:r>
            <w:r>
              <w:t>/</w:t>
            </w:r>
            <w:r>
              <w:rPr>
                <w:rFonts w:ascii="Courier New" w:hAnsi="Courier New"/>
                <w:sz w:val="18"/>
              </w:rPr>
              <w:t>oid</w:t>
            </w:r>
            <w:r>
              <w:t xml:space="preserve">), EmailProvedor, Ativo; </w:t>
            </w:r>
            <w:r>
              <w:rPr>
                <w:b/>
              </w:rPr>
              <w:t>único (Provedor, SubjectId)</w:t>
            </w:r>
          </w:p>
        </w:tc>
        <w:tc>
          <w:tcPr>
            <w:tcW w:type="dxa" w:w="2880"/>
          </w:tcPr>
          <w:p>
            <w:r>
              <w:t>Login social OAuth/OIDC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PersonalAccessToken</w:t>
            </w:r>
          </w:p>
        </w:tc>
        <w:tc>
          <w:tcPr>
            <w:tcW w:type="dxa" w:w="2880"/>
          </w:tcPr>
          <w:p>
            <w:r>
              <w:t xml:space="preserve">UsuarioId, Nome, TokenHash (único), Expiracao, UltimoUso, Revogado; </w:t>
            </w:r>
            <w:r>
              <w:rPr>
                <w:rFonts w:ascii="Courier New" w:hAnsi="Courier New"/>
                <w:sz w:val="18"/>
              </w:rPr>
              <w:t>EstaAtivoEValido()</w:t>
            </w:r>
          </w:p>
        </w:tc>
        <w:tc>
          <w:tcPr>
            <w:tcW w:type="dxa" w:w="2880"/>
          </w:tcPr>
          <w:p>
            <w:r>
              <w:t>Token de acesso API (entidade)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UsuarioInterno</w:t>
            </w:r>
            <w:r>
              <w:t xml:space="preserve"> </w:t>
            </w:r>
            <w:r>
              <w:rPr>
                <w:i/>
              </w:rPr>
              <w:t>(Landlord)</w:t>
            </w:r>
          </w:p>
        </w:tc>
        <w:tc>
          <w:tcPr>
            <w:tcW w:type="dxa" w:w="2880"/>
          </w:tcPr>
          <w:p>
            <w:r>
              <w:t xml:space="preserve">Nome, Email, Senha, PrimaryAdmin, </w:t>
            </w:r>
            <w:r>
              <w:rPr>
                <w:b/>
              </w:rPr>
              <w:t>PerfilSuporte (Nenhum/SuporteTecnico/SuporteNegocio)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PodeDarSuporte</w:t>
            </w:r>
          </w:p>
        </w:tc>
        <w:tc>
          <w:tcPr>
            <w:tcW w:type="dxa" w:w="2880"/>
          </w:tcPr>
          <w:p>
            <w:r>
              <w:t>Operador Siser (suporte)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SessaoImpersonacao</w:t>
            </w:r>
          </w:p>
        </w:tc>
        <w:tc>
          <w:tcPr>
            <w:tcW w:type="dxa" w:w="2880"/>
          </w:tcPr>
          <w:p>
            <w:r>
              <w:t xml:space="preserve">UsuarioOriginalId, UsuarioAlvoId, EmpresaId, </w:t>
            </w:r>
            <w:r>
              <w:rPr>
                <w:b/>
              </w:rPr>
              <w:t>TenantAlvo</w:t>
            </w:r>
            <w:r>
              <w:t xml:space="preserve">, </w:t>
            </w:r>
            <w:r>
              <w:rPr>
                <w:b/>
              </w:rPr>
              <w:t>TipoAcesso</w:t>
            </w:r>
            <w:r>
              <w:t>, Inicio/Fim, Motivo, IpOrigem</w:t>
            </w:r>
          </w:p>
        </w:tc>
        <w:tc>
          <w:tcPr>
            <w:tcW w:type="dxa" w:w="2880"/>
          </w:tcPr>
          <w:p>
            <w:r>
              <w:t>Trilha de impersonação/suporte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HistoricoLogin</w:t>
            </w:r>
          </w:p>
        </w:tc>
        <w:tc>
          <w:tcPr>
            <w:tcW w:type="dxa" w:w="2880"/>
          </w:tcPr>
          <w:p>
            <w:r>
              <w:t>UsuarioId?, EmailTentado (</w:t>
            </w:r>
            <w:r>
              <w:rPr>
                <w:b/>
              </w:rPr>
              <w:t>índice não-único</w:t>
            </w:r>
            <w:r>
              <w:t xml:space="preserve"> </w:t>
            </w:r>
            <w:r>
              <w:rPr>
                <w:rFonts w:ascii="Courier New" w:hAnsi="Courier New"/>
                <w:sz w:val="18"/>
              </w:rPr>
              <w:t>ix_historico_login_email</w:t>
            </w:r>
            <w:r>
              <w:t>), IpAddress, UserAgent, Sucesso (bool), Detalhes, DataHora</w:t>
            </w:r>
          </w:p>
        </w:tc>
        <w:tc>
          <w:tcPr>
            <w:tcW w:type="dxa" w:w="2880"/>
          </w:tcPr>
          <w:p>
            <w:r>
              <w:t>Auditoria de login (consolidada)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UsuarioEmpresa</w:t>
            </w:r>
          </w:p>
        </w:tc>
        <w:tc>
          <w:tcPr>
            <w:tcW w:type="dxa" w:w="2880"/>
          </w:tcPr>
          <w:p>
            <w:r>
              <w:t xml:space="preserve">UsuarioId, EmpresaId, PerfilAcessoId?, EhAdmin; </w:t>
            </w:r>
            <w:r>
              <w:rPr>
                <w:b/>
              </w:rPr>
              <w:t>único (UsuarioId, EmpresaId)</w:t>
            </w:r>
          </w:p>
        </w:tc>
        <w:tc>
          <w:tcPr>
            <w:tcW w:type="dxa" w:w="2880"/>
          </w:tcPr>
          <w:p>
            <w:r>
              <w:t>Vínculo usuário↔empresa</w:t>
            </w:r>
          </w:p>
        </w:tc>
      </w:tr>
    </w:tbl>
    <w:p/>
    <w:p>
      <w:pPr>
        <w:pStyle w:val="Heading2"/>
      </w:pPr>
      <w:r>
        <w:t>4. A lógica (regras implantadas — evidência `arquivo:linha`)</w:t>
      </w:r>
    </w:p>
    <w:p>
      <w:pPr>
        <w:pStyle w:val="ListNumber"/>
      </w:pPr>
      <w:r>
        <w:rPr>
          <w:b/>
        </w:rPr>
        <w:t>Login fail-closed com anti-enumeração.</w:t>
      </w:r>
      <w:r>
        <w:t xml:space="preserve"> </w:t>
      </w:r>
      <w:r>
        <w:rPr>
          <w:rFonts w:ascii="Courier New" w:hAnsi="Courier New"/>
          <w:sz w:val="18"/>
        </w:rPr>
        <w:t>AuthHandlers.cs</w:t>
      </w:r>
      <w:r>
        <w:t>: mensagem genérica "E-mail ou senha incorretos" para</w:t>
      </w:r>
    </w:p>
    <w:p>
      <w:r>
        <w:t xml:space="preserve">   usuário inexistente (</w:t>
      </w:r>
      <w:r>
        <w:rPr>
          <w:rFonts w:ascii="Courier New" w:hAnsi="Courier New"/>
          <w:sz w:val="18"/>
        </w:rPr>
        <w:t>:84</w:t>
      </w:r>
      <w:r>
        <w:t>), lockout (</w:t>
      </w:r>
      <w:r>
        <w:rPr>
          <w:rFonts w:ascii="Courier New" w:hAnsi="Courier New"/>
          <w:sz w:val="18"/>
        </w:rPr>
        <w:t>:88</w:t>
      </w:r>
      <w:r>
        <w:t>), senha inválida (</w:t>
      </w:r>
      <w:r>
        <w:rPr>
          <w:rFonts w:ascii="Courier New" w:hAnsi="Courier New"/>
          <w:sz w:val="18"/>
        </w:rPr>
        <w:t>:94-104</w:t>
      </w:r>
      <w:r>
        <w:t xml:space="preserve">) e </w:t>
      </w:r>
      <w:r>
        <w:rPr>
          <w:b/>
        </w:rPr>
        <w:t>REG-006</w:t>
      </w:r>
      <w:r>
        <w:t xml:space="preserve"> conta não-</w:t>
      </w:r>
      <w:r>
        <w:rPr>
          <w:rFonts w:ascii="Courier New" w:hAnsi="Courier New"/>
          <w:sz w:val="18"/>
        </w:rPr>
        <w:t>Active</w:t>
      </w:r>
      <w:r>
        <w:t xml:space="preserve"> barrada</w:t>
      </w:r>
    </w:p>
    <w:p>
      <w:r>
        <w:t xml:space="preserve">   </w:t>
      </w:r>
      <w:r>
        <w:rPr>
          <w:b/>
        </w:rPr>
        <w:t>já no login, antes de emitir token</w:t>
      </w:r>
      <w:r>
        <w:t xml:space="preserve"> (</w:t>
      </w:r>
      <w:r>
        <w:rPr>
          <w:rFonts w:ascii="Courier New" w:hAnsi="Courier New"/>
          <w:sz w:val="18"/>
        </w:rPr>
        <w:t>:111-118</w:t>
      </w:r>
      <w:r>
        <w:t>). Verificação de senha PBKDF2 em tempo constante (</w:t>
      </w:r>
      <w:r>
        <w:rPr>
          <w:rFonts w:ascii="Courier New" w:hAnsi="Courier New"/>
          <w:sz w:val="18"/>
        </w:rPr>
        <w:t>:94</w:t>
      </w:r>
      <w:r>
        <w:t>).</w:t>
      </w:r>
    </w:p>
    <w:p>
      <w:pPr>
        <w:pStyle w:val="ListNumber"/>
      </w:pPr>
      <w:r>
        <w:rPr>
          <w:b/>
        </w:rPr>
        <w:t>Lockout por tentativas.</w:t>
      </w:r>
      <w:r>
        <w:t xml:space="preserve"> </w:t>
      </w:r>
      <w:r>
        <w:rPr>
          <w:rFonts w:ascii="Courier New" w:hAnsi="Courier New"/>
          <w:sz w:val="18"/>
        </w:rPr>
        <w:t>usuario.RegistrarFalhaLogin(5, 15 min)</w:t>
      </w:r>
      <w:r>
        <w:t xml:space="preserve"> (</w:t>
      </w:r>
      <w:r>
        <w:rPr>
          <w:rFonts w:ascii="Courier New" w:hAnsi="Courier New"/>
          <w:sz w:val="18"/>
        </w:rPr>
        <w:t>AuthHandlers.cs:97</w:t>
      </w:r>
      <w:r>
        <w:t xml:space="preserve">; </w:t>
      </w:r>
      <w:r>
        <w:rPr>
          <w:rFonts w:ascii="Courier New" w:hAnsi="Courier New"/>
          <w:sz w:val="18"/>
        </w:rPr>
        <w:t>Usuario.cs:92-100</w:t>
      </w:r>
      <w:r>
        <w:t>) —</w:t>
      </w:r>
    </w:p>
    <w:p>
      <w:r>
        <w:t xml:space="preserve">   ao atingir 5 falhas, </w:t>
      </w:r>
      <w:r>
        <w:rPr>
          <w:rFonts w:ascii="Courier New" w:hAnsi="Courier New"/>
          <w:sz w:val="18"/>
        </w:rPr>
        <w:t>LockoutEnd</w:t>
      </w:r>
      <w:r>
        <w:t xml:space="preserve"> e </w:t>
      </w:r>
      <w:r>
        <w:rPr>
          <w:rFonts w:ascii="Courier New" w:hAnsi="Courier New"/>
          <w:sz w:val="18"/>
        </w:rPr>
        <w:t>Status=Suspended</w:t>
      </w:r>
      <w:r>
        <w:t>; reset no sucesso (</w:t>
      </w:r>
      <w:r>
        <w:rPr>
          <w:rFonts w:ascii="Courier New" w:hAnsi="Courier New"/>
          <w:sz w:val="18"/>
        </w:rPr>
        <w:t>Usuario.cs:102-110</w:t>
      </w:r>
      <w:r>
        <w:t>).</w:t>
      </w:r>
    </w:p>
    <w:p>
      <w:pPr>
        <w:pStyle w:val="ListNumber"/>
      </w:pPr>
      <w:r>
        <w:rPr>
          <w:b/>
        </w:rPr>
        <w:t>Sessão + JWT ligados por `jti`.</w:t>
      </w:r>
      <w:r>
        <w:t xml:space="preserve"> No sucesso cria-se </w:t>
      </w:r>
      <w:r>
        <w:rPr>
          <w:rFonts w:ascii="Courier New" w:hAnsi="Courier New"/>
          <w:sz w:val="18"/>
        </w:rPr>
        <w:t>SessaoUsuario</w:t>
      </w:r>
      <w:r>
        <w:t xml:space="preserve"> com um </w:t>
      </w:r>
      <w:r>
        <w:rPr>
          <w:rFonts w:ascii="Courier New" w:hAnsi="Courier New"/>
          <w:sz w:val="18"/>
        </w:rPr>
        <w:t>jti</w:t>
      </w:r>
      <w:r>
        <w:t xml:space="preserve"> (</w:t>
      </w:r>
      <w:r>
        <w:rPr>
          <w:rFonts w:ascii="Courier New" w:hAnsi="Courier New"/>
          <w:sz w:val="18"/>
        </w:rPr>
        <w:t>AuthHandlers.cs:372-377</w:t>
      </w:r>
      <w:r>
        <w:t>); o</w:t>
      </w:r>
    </w:p>
    <w:p>
      <w:r>
        <w:t xml:space="preserve">   token básico e o completo reutilizam o </w:t>
      </w:r>
      <w:r>
        <w:rPr>
          <w:b/>
        </w:rPr>
        <w:t>mesmo jti</w:t>
      </w:r>
      <w:r>
        <w:t xml:space="preserve"> (</w:t>
      </w:r>
      <w:r>
        <w:rPr>
          <w:rFonts w:ascii="Courier New" w:hAnsi="Courier New"/>
          <w:sz w:val="18"/>
        </w:rPr>
        <w:t>:452</w:t>
      </w:r>
      <w:r>
        <w:t>) para permanecerem vinculados à sessão.</w:t>
      </w:r>
    </w:p>
    <w:p>
      <w:pPr>
        <w:pStyle w:val="ListNumber"/>
      </w:pPr>
      <w:r>
        <w:rPr>
          <w:b/>
        </w:rPr>
        <w:t>Token único de 8h, assinado.</w:t>
      </w:r>
      <w:r>
        <w:t xml:space="preserve"> </w:t>
      </w:r>
      <w:r>
        <w:rPr>
          <w:rFonts w:ascii="Courier New" w:hAnsi="Courier New"/>
          <w:sz w:val="18"/>
        </w:rPr>
        <w:t>EprosTokenService</w:t>
      </w:r>
      <w:r>
        <w:t xml:space="preserve"> emite JWT HS256 com </w:t>
      </w:r>
      <w:r>
        <w:rPr>
          <w:rFonts w:ascii="Courier New" w:hAnsi="Courier New"/>
          <w:sz w:val="18"/>
        </w:rPr>
        <w:t>Validade=8h</w:t>
      </w:r>
      <w:r>
        <w:t xml:space="preserve"> como fonte única</w:t>
      </w:r>
    </w:p>
    <w:p>
      <w:r>
        <w:t xml:space="preserve">   (</w:t>
      </w:r>
      <w:r>
        <w:rPr>
          <w:rFonts w:ascii="Courier New" w:hAnsi="Courier New"/>
          <w:sz w:val="18"/>
        </w:rPr>
        <w:t>EprosTokenService.cs:63,66</w:t>
      </w:r>
      <w:r>
        <w:t xml:space="preserve">) — fecha a divergência 8h×10h. Chave de assinatura exige ≥32 bytes, senão </w:t>
      </w:r>
      <w:r>
        <w:rPr>
          <w:b/>
        </w:rPr>
        <w:t>aborta</w:t>
      </w:r>
    </w:p>
    <w:p>
      <w:r>
        <w:t xml:space="preserve">   (</w:t>
      </w:r>
      <w:r>
        <w:rPr>
          <w:rFonts w:ascii="Courier New" w:hAnsi="Courier New"/>
          <w:sz w:val="18"/>
        </w:rPr>
        <w:t>:73-77</w:t>
      </w:r>
      <w:r>
        <w:t xml:space="preserve">). </w:t>
      </w:r>
      <w:r>
        <w:rPr>
          <w:rFonts w:ascii="Courier New" w:hAnsi="Courier New"/>
          <w:sz w:val="18"/>
        </w:rPr>
        <w:t>GerarBasico</w:t>
      </w:r>
      <w:r>
        <w:t>/</w:t>
      </w:r>
      <w:r>
        <w:rPr>
          <w:rFonts w:ascii="Courier New" w:hAnsi="Courier New"/>
          <w:sz w:val="18"/>
        </w:rPr>
        <w:t>GerarCompleto</w:t>
      </w:r>
      <w:r>
        <w:t>/</w:t>
      </w:r>
      <w:r>
        <w:rPr>
          <w:rFonts w:ascii="Courier New" w:hAnsi="Courier New"/>
          <w:sz w:val="18"/>
        </w:rPr>
        <w:t>GerarOperadorInterno</w:t>
      </w:r>
      <w:r>
        <w:t xml:space="preserve"> (claims </w:t>
      </w:r>
      <w:r>
        <w:rPr>
          <w:rFonts w:ascii="Courier New" w:hAnsi="Courier New"/>
          <w:sz w:val="18"/>
        </w:rPr>
        <w:t>tenantId</w:t>
      </w:r>
      <w:r>
        <w:t>/</w:t>
      </w:r>
      <w:r>
        <w:rPr>
          <w:rFonts w:ascii="Courier New" w:hAnsi="Courier New"/>
          <w:sz w:val="18"/>
        </w:rPr>
        <w:t>empresaId</w:t>
      </w:r>
      <w:r>
        <w:t>/</w:t>
      </w:r>
      <w:r>
        <w:rPr>
          <w:rFonts w:ascii="Courier New" w:hAnsi="Courier New"/>
          <w:sz w:val="18"/>
        </w:rPr>
        <w:t>perfilId</w:t>
      </w:r>
      <w:r>
        <w:t xml:space="preserve"> +</w:t>
      </w:r>
    </w:p>
    <w:p>
      <w:r>
        <w:t xml:space="preserve">   </w:t>
      </w:r>
      <w:r>
        <w:rPr>
          <w:rFonts w:ascii="Courier New" w:hAnsi="Courier New"/>
          <w:sz w:val="18"/>
        </w:rPr>
        <w:t>primaryAdmin</w:t>
      </w:r>
      <w:r>
        <w:t>/</w:t>
      </w:r>
      <w:r>
        <w:rPr>
          <w:rFonts w:ascii="Courier New" w:hAnsi="Courier New"/>
          <w:sz w:val="18"/>
        </w:rPr>
        <w:t>perfilSuporte</w:t>
      </w:r>
      <w:r>
        <w:t>).</w:t>
      </w:r>
    </w:p>
    <w:p>
      <w:pPr>
        <w:pStyle w:val="ListNumber"/>
      </w:pPr>
      <w:r>
        <w:rPr>
          <w:b/>
        </w:rPr>
        <w:t>Logout real (REG-013).</w:t>
      </w:r>
      <w:r>
        <w:t xml:space="preserve"> Endpoint </w:t>
      </w:r>
      <w:r>
        <w:rPr>
          <w:rFonts w:ascii="Courier New" w:hAnsi="Courier New"/>
          <w:sz w:val="18"/>
        </w:rPr>
        <w:t>auth/logout</w:t>
      </w:r>
      <w:r>
        <w:t xml:space="preserve"> (</w:t>
      </w:r>
      <w:r>
        <w:rPr>
          <w:rFonts w:ascii="Courier New" w:hAnsi="Courier New"/>
          <w:sz w:val="18"/>
        </w:rPr>
        <w:t>AuthController.cs:218</w:t>
      </w:r>
      <w:r>
        <w:t xml:space="preserve">) revoga as </w:t>
      </w:r>
      <w:r>
        <w:rPr>
          <w:rFonts w:ascii="Courier New" w:hAnsi="Courier New"/>
          <w:sz w:val="18"/>
        </w:rPr>
        <w:t>SessaoUsuario</w:t>
      </w:r>
      <w:r>
        <w:t xml:space="preserve"> do usuário</w:t>
      </w:r>
    </w:p>
    <w:p>
      <w:r>
        <w:t xml:space="preserve">   (</w:t>
      </w:r>
      <w:r>
        <w:rPr>
          <w:rFonts w:ascii="Courier New" w:hAnsi="Courier New"/>
          <w:sz w:val="18"/>
        </w:rPr>
        <w:t>AuthHandlers.cs:598</w:t>
      </w:r>
      <w:r>
        <w:t xml:space="preserve">) e grava marco </w:t>
      </w:r>
      <w:r>
        <w:rPr>
          <w:rFonts w:ascii="Courier New" w:hAnsi="Courier New"/>
          <w:sz w:val="18"/>
        </w:rPr>
        <w:t>RevogacaoSessao.ChaveCache(usuarioId)</w:t>
      </w:r>
      <w:r>
        <w:t xml:space="preserve"> (</w:t>
      </w:r>
      <w:r>
        <w:rPr>
          <w:rFonts w:ascii="Courier New" w:hAnsi="Courier New"/>
          <w:sz w:val="18"/>
        </w:rPr>
        <w:t>:608</w:t>
      </w:r>
      <w:r>
        <w:t>). Na borda,</w:t>
      </w:r>
    </w:p>
    <w:p>
      <w:r>
        <w:t xml:space="preserve">   </w:t>
      </w:r>
      <w:r>
        <w:rPr>
          <w:rFonts w:ascii="Courier New" w:hAnsi="Courier New"/>
          <w:sz w:val="18"/>
        </w:rPr>
        <w:t>EprosTokenAuthenticationHandler.cs:91</w:t>
      </w:r>
      <w:r>
        <w:t xml:space="preserve"> </w:t>
      </w:r>
      <w:r>
        <w:rPr>
          <w:b/>
        </w:rPr>
        <w:t>rejeita qualquer token do usuário emitido antes do logout</w:t>
      </w:r>
      <w:r>
        <w:t xml:space="preserve"> — invalida token</w:t>
      </w:r>
    </w:p>
    <w:p>
      <w:r>
        <w:t xml:space="preserve">   vivo sem estado por-jti.</w:t>
      </w:r>
    </w:p>
    <w:p>
      <w:pPr>
        <w:pStyle w:val="ListNumber"/>
      </w:pPr>
      <w:r>
        <w:rPr>
          <w:b/>
        </w:rPr>
        <w:t>Seleção de tenant/empresa não-obrigatória (cards).</w:t>
      </w:r>
      <w:r>
        <w:t xml:space="preserve"> </w:t>
      </w:r>
      <w:r>
        <w:rPr>
          <w:rFonts w:ascii="Courier New" w:hAnsi="Courier New"/>
          <w:sz w:val="18"/>
        </w:rPr>
        <w:t>AcessoMultiTenant.EmitirResultadoLoginAsync</w:t>
      </w:r>
      <w:r>
        <w:t>: N tenants →</w:t>
      </w:r>
    </w:p>
    <w:p>
      <w:r>
        <w:t xml:space="preserve">   </w:t>
      </w:r>
      <w:r>
        <w:rPr>
          <w:rFonts w:ascii="Courier New" w:hAnsi="Courier New"/>
          <w:sz w:val="18"/>
        </w:rPr>
        <w:t>ExigeSelecaoTenant</w:t>
      </w:r>
      <w:r>
        <w:t xml:space="preserve">; 1 empresa → entra direto (token completo </w:t>
      </w:r>
      <w:r>
        <w:rPr>
          <w:rFonts w:ascii="Courier New" w:hAnsi="Courier New"/>
          <w:sz w:val="18"/>
        </w:rPr>
        <w:t>:452</w:t>
      </w:r>
      <w:r>
        <w:t xml:space="preserve">); 0 acessos → estado </w:t>
      </w:r>
      <w:r>
        <w:rPr>
          <w:b/>
        </w:rPr>
        <w:t>`SemAcesso`</w:t>
      </w:r>
    </w:p>
    <w:p>
      <w:r>
        <w:t xml:space="preserve">   (</w:t>
      </w:r>
      <w:r>
        <w:rPr>
          <w:rFonts w:ascii="Courier New" w:hAnsi="Courier New"/>
          <w:sz w:val="18"/>
        </w:rPr>
        <w:t>AuthResponseDto</w:t>
      </w:r>
      <w:r>
        <w:t xml:space="preserve">, </w:t>
      </w:r>
      <w:r>
        <w:rPr>
          <w:rFonts w:ascii="Courier New" w:hAnsi="Courier New"/>
          <w:sz w:val="18"/>
        </w:rPr>
        <w:t>:431-443</w:t>
      </w:r>
      <w:r>
        <w:t>) com CTA de onboarding.</w:t>
      </w:r>
    </w:p>
    <w:p>
      <w:pPr>
        <w:pStyle w:val="ListNumber"/>
      </w:pPr>
      <w:r>
        <w:rPr>
          <w:b/>
        </w:rPr>
        <w:t>Leitura cross-tenant só no auth anônimo.</w:t>
      </w:r>
      <w:r>
        <w:t xml:space="preserve"> Login/registro/reset/social leem por </w:t>
      </w:r>
      <w:r>
        <w:rPr>
          <w:rFonts w:ascii="Courier New" w:hAnsi="Courier New"/>
          <w:sz w:val="18"/>
        </w:rPr>
        <w:t>AuthRlsBypass.EnableAsync</w:t>
      </w:r>
      <w:r>
        <w:t xml:space="preserve"> +</w:t>
      </w:r>
    </w:p>
    <w:p>
      <w:r>
        <w:t xml:space="preserve">   </w:t>
      </w:r>
      <w:r>
        <w:rPr>
          <w:rFonts w:ascii="Courier New" w:hAnsi="Courier New"/>
          <w:sz w:val="18"/>
        </w:rPr>
        <w:t>IgnoreQueryFilters</w:t>
      </w:r>
      <w:r>
        <w:t xml:space="preserve"> (</w:t>
      </w:r>
      <w:r>
        <w:rPr>
          <w:rFonts w:ascii="Courier New" w:hAnsi="Courier New"/>
          <w:sz w:val="18"/>
        </w:rPr>
        <w:t>AuthHandlers.cs:66-70</w:t>
      </w:r>
      <w:r>
        <w:t>), pois ocorrem antes de haver tenant no token.</w:t>
      </w:r>
    </w:p>
    <w:p>
      <w:pPr>
        <w:pStyle w:val="ListNumber"/>
      </w:pPr>
      <w:r>
        <w:rPr>
          <w:b/>
        </w:rPr>
        <w:t>Inadimplência = 15 dias.</w:t>
      </w:r>
      <w:r>
        <w:t xml:space="preserve"> Fatura </w:t>
      </w:r>
      <w:r>
        <w:rPr>
          <w:rFonts w:ascii="Courier New" w:hAnsi="Courier New"/>
          <w:sz w:val="18"/>
        </w:rPr>
        <w:t>AguardandoPagamento</w:t>
      </w:r>
      <w:r>
        <w:t xml:space="preserve"> vencida há &gt;15 dias corridos bloqueia (</w:t>
      </w:r>
      <w:r>
        <w:rPr>
          <w:rFonts w:ascii="Courier New" w:hAnsi="Courier New"/>
          <w:sz w:val="18"/>
        </w:rPr>
        <w:t>AuthHandlers.cs:232</w:t>
      </w:r>
    </w:p>
    <w:p>
      <w:r>
        <w:t xml:space="preserve">   e </w:t>
      </w:r>
      <w:r>
        <w:rPr>
          <w:rFonts w:ascii="Courier New" w:hAnsi="Courier New"/>
          <w:sz w:val="18"/>
        </w:rPr>
        <w:t>:557</w:t>
      </w:r>
      <w:r>
        <w:t>), alinhado à decisão da 1.01.</w:t>
      </w:r>
    </w:p>
    <w:p>
      <w:pPr>
        <w:pStyle w:val="ListNumber"/>
      </w:pPr>
      <w:r>
        <w:rPr>
          <w:b/>
        </w:rPr>
        <w:t>Tenant vem da claim, não do host.</w:t>
      </w:r>
      <w:r>
        <w:t xml:space="preserve"> </w:t>
      </w:r>
      <w:r>
        <w:rPr>
          <w:rFonts w:ascii="Courier New" w:hAnsi="Courier New"/>
          <w:sz w:val="18"/>
        </w:rPr>
        <w:t>InquilinoSaaSMiddleware.cs:35</w:t>
      </w:r>
      <w:r>
        <w:t xml:space="preserve"> lê a claim </w:t>
      </w:r>
      <w:r>
        <w:rPr>
          <w:rFonts w:ascii="Courier New" w:hAnsi="Courier New"/>
          <w:sz w:val="18"/>
        </w:rPr>
        <w:t>tenantId</w:t>
      </w:r>
      <w:r>
        <w:t xml:space="preserve"> do JWT; contador</w:t>
      </w:r>
    </w:p>
    <w:p>
      <w:r>
        <w:t xml:space="preserve">   multi-tenant escolhe o cliente pós-login. Endereçamento subdomínio-por-cliente foi </w:t>
      </w:r>
      <w:r>
        <w:rPr>
          <w:b/>
        </w:rPr>
        <w:t>adiado</w:t>
      </w:r>
      <w:r>
        <w:t xml:space="preserve"> (DECISOES §Topologia).</w:t>
      </w:r>
    </w:p>
    <w:p>
      <w:pPr>
        <w:pStyle w:val="ListNumber"/>
      </w:pPr>
      <w:r>
        <w:rPr>
          <w:b/>
        </w:rPr>
        <w:t>IDOR fechado.</w:t>
      </w:r>
      <w:r>
        <w:t xml:space="preserve"> </w:t>
      </w:r>
      <w:r>
        <w:rPr>
          <w:rFonts w:ascii="Courier New" w:hAnsi="Courier New"/>
          <w:sz w:val="18"/>
        </w:rPr>
        <w:t>auth/tenants-disponiveis</w:t>
      </w:r>
      <w:r>
        <w:t>/</w:t>
      </w:r>
      <w:r>
        <w:rPr>
          <w:rFonts w:ascii="Courier New" w:hAnsi="Courier New"/>
          <w:sz w:val="18"/>
        </w:rPr>
        <w:t>empresas-disponiveis</w:t>
      </w:r>
      <w:r>
        <w:t xml:space="preserve"> derivam o usuário do claim do token (não por</w:t>
      </w:r>
    </w:p>
    <w:p>
      <w:r>
        <w:t xml:space="preserve">    query) e os POST </w:t>
      </w:r>
      <w:r>
        <w:rPr>
          <w:rFonts w:ascii="Courier New" w:hAnsi="Courier New"/>
          <w:sz w:val="18"/>
        </w:rPr>
        <w:t>selecionar-tenant/empresa</w:t>
      </w:r>
      <w:r>
        <w:t xml:space="preserve"> </w:t>
      </w:r>
      <w:r>
        <w:rPr>
          <w:b/>
        </w:rPr>
        <w:t>sobrescrevem</w:t>
      </w:r>
      <w:r>
        <w:t xml:space="preserve"> o </w:t>
      </w:r>
      <w:r>
        <w:rPr>
          <w:rFonts w:ascii="Courier New" w:hAnsi="Courier New"/>
          <w:sz w:val="18"/>
        </w:rPr>
        <w:t>UsuarioId</w:t>
      </w:r>
      <w:r>
        <w:t xml:space="preserve"> do corpo pela identidade do token</w:t>
      </w:r>
    </w:p>
    <w:p>
      <w:r>
        <w:t xml:space="preserve">    (DECISOES §UX item 6).</w:t>
      </w:r>
    </w:p>
    <w:p>
      <w:pPr>
        <w:pStyle w:val="Heading2"/>
      </w:pPr>
      <w:r>
        <w:t>5. Relações com outros módulos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Módulo vizinho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Relação — FKs/eventos/dependências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ISOLAMENTO_DE_DADOS (1.05)</w:t>
            </w:r>
          </w:p>
        </w:tc>
        <w:tc>
          <w:tcPr>
            <w:tcW w:type="dxa" w:w="4320"/>
          </w:tcPr>
          <w:p>
            <w:r>
              <w:t xml:space="preserve">Toda entidade herda </w:t>
            </w:r>
            <w:r>
              <w:rPr>
                <w:rFonts w:ascii="Courier New" w:hAnsi="Courier New"/>
                <w:sz w:val="18"/>
              </w:rPr>
              <w:t>EntidadeSaaSBase.TenantId</w:t>
            </w:r>
            <w:r>
              <w:t xml:space="preserve">; o contexto de tenant resolvido aqui (claim → </w:t>
            </w:r>
            <w:r>
              <w:rPr>
                <w:rFonts w:ascii="Courier New" w:hAnsi="Courier New"/>
                <w:sz w:val="18"/>
              </w:rPr>
              <w:t>HttpContext.Items</w:t>
            </w:r>
            <w:r>
              <w:t xml:space="preserve">) alimenta o </w:t>
            </w:r>
            <w:r>
              <w:rPr>
                <w:rFonts w:ascii="Courier New" w:hAnsi="Courier New"/>
                <w:sz w:val="18"/>
              </w:rPr>
              <w:t>TenantProvider</w:t>
            </w:r>
            <w:r>
              <w:t>/RLS.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ASSINATURA_E_PLANOS (1.01)</w:t>
            </w:r>
          </w:p>
        </w:tc>
        <w:tc>
          <w:tcPr>
            <w:tcW w:type="dxa" w:w="4320"/>
          </w:tcPr>
          <w:p>
            <w:r>
              <w:t xml:space="preserve">Bloqueio por inadimplência (15 dias) e status do </w:t>
            </w:r>
            <w:r>
              <w:rPr>
                <w:rFonts w:ascii="Courier New" w:hAnsi="Courier New"/>
                <w:sz w:val="18"/>
              </w:rPr>
              <w:t>Cliente</w:t>
            </w:r>
            <w:r>
              <w:t xml:space="preserve">/tenant governam o login e o </w:t>
            </w:r>
            <w:r>
              <w:rPr>
                <w:rFonts w:ascii="Courier New" w:hAnsi="Courier New"/>
                <w:sz w:val="18"/>
              </w:rPr>
              <w:t>obter-acessos</w:t>
            </w:r>
            <w:r>
              <w:t xml:space="preserve"> (402).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USUARIOS_E_PAPEIS (1.11) / PERMISSOES_DE_MENU (1.10)</w:t>
            </w:r>
          </w:p>
        </w:tc>
        <w:tc>
          <w:tcPr>
            <w:tcW w:type="dxa" w:w="4320"/>
          </w:tcPr>
          <w:p>
            <w:r>
              <w:t xml:space="preserve">RBAC (Papel/Capacidade) e árvore de menu projetada; </w:t>
            </w:r>
            <w:r>
              <w:rPr>
                <w:rFonts w:ascii="Courier New" w:hAnsi="Courier New"/>
                <w:sz w:val="18"/>
              </w:rPr>
              <w:t>UsuarioEmpresa.PerfilAcessoId</w:t>
            </w:r>
            <w:r>
              <w:t xml:space="preserve"> e cota de usuários.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ONBOARDING_E_EMPRESA (1.07)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registrar-tenant</w:t>
            </w:r>
            <w:r>
              <w:t xml:space="preserve"> provisiona Tenant + Empresa + </w:t>
            </w:r>
            <w:r>
              <w:rPr>
                <w:rFonts w:ascii="Courier New" w:hAnsi="Courier New"/>
                <w:sz w:val="18"/>
              </w:rPr>
              <w:t>Usuario</w:t>
            </w:r>
            <w:r>
              <w:t xml:space="preserve"> admin + </w:t>
            </w:r>
            <w:r>
              <w:rPr>
                <w:rFonts w:ascii="Courier New" w:hAnsi="Courier New"/>
                <w:sz w:val="18"/>
              </w:rPr>
              <w:t>AcessoUsuarioTenant</w:t>
            </w:r>
            <w:r>
              <w:t xml:space="preserve"> Proprietário.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OPERACAO_SUPER_ADMIN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UsuarioInterno</w:t>
            </w:r>
            <w:r>
              <w:t>/</w:t>
            </w:r>
            <w:r>
              <w:rPr>
                <w:rFonts w:ascii="Courier New" w:hAnsi="Courier New"/>
                <w:sz w:val="18"/>
              </w:rPr>
              <w:t>SessaoImpersonacao</w:t>
            </w:r>
            <w:r>
              <w:t xml:space="preserve"> + login </w:t>
            </w:r>
            <w:r>
              <w:rPr>
                <w:rFonts w:ascii="Courier New" w:hAnsi="Courier New"/>
                <w:sz w:val="18"/>
              </w:rPr>
              <w:t>public/plataforma/login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GerarOperadorInterno</w:t>
            </w:r>
            <w:r>
              <w:t>) dão o acesso Landlord/suporte auditado.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CATALOGOS_GLOBAIS_SAAS (1.02)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Municipio</w:t>
            </w:r>
            <w:r>
              <w:t>/IBGE e telefone exigidos no self-register fiscal (REG-036, parcial).</w:t>
            </w:r>
          </w:p>
        </w:tc>
      </w:tr>
    </w:tbl>
    <w:p/>
    <w:p>
      <w:pPr>
        <w:pStyle w:val="Heading2"/>
      </w:pPr>
      <w:r>
        <w:t>6. O que NÃO está pronto (ver MC + tracker)</w:t>
      </w:r>
    </w:p>
    <w:p>
      <w:pPr>
        <w:pStyle w:val="ListBullet"/>
      </w:pPr>
      <w:r>
        <w:rPr>
          <w:b/>
        </w:rPr>
        <w:t>Fluxo de PAT / login API-mobile-PDV (7.5, REG-026/027):</w:t>
      </w:r>
      <w:r>
        <w:t xml:space="preserve"> a entidade </w:t>
      </w:r>
      <w:r>
        <w:rPr>
          <w:rFonts w:ascii="Courier New" w:hAnsi="Courier New"/>
          <w:sz w:val="18"/>
        </w:rPr>
        <w:t>PersonalAccessToken</w:t>
      </w:r>
      <w:r>
        <w:t xml:space="preserve"> existe (com unicidade de</w:t>
      </w:r>
    </w:p>
    <w:p>
      <w:r>
        <w:t xml:space="preserve">  hash), mas </w:t>
      </w:r>
      <w:r>
        <w:rPr>
          <w:b/>
        </w:rPr>
        <w:t>não há endpoint que emita/valide</w:t>
      </w:r>
      <w:r>
        <w:t xml:space="preserve"> o token — canal API/mobile/PDV </w:t>
      </w:r>
      <w:r>
        <w:rPr>
          <w:b/>
        </w:rPr>
        <w:t>não implementado</w:t>
      </w:r>
      <w:r>
        <w:t>.</w:t>
      </w:r>
    </w:p>
    <w:p>
      <w:pPr>
        <w:pStyle w:val="ListBullet"/>
      </w:pPr>
      <w:r>
        <w:rPr>
          <w:b/>
        </w:rPr>
        <w:t>2FA/MFA:</w:t>
      </w:r>
      <w:r>
        <w:t xml:space="preserve"> campo </w:t>
      </w:r>
      <w:r>
        <w:rPr>
          <w:rFonts w:ascii="Courier New" w:hAnsi="Courier New"/>
          <w:sz w:val="18"/>
        </w:rPr>
        <w:t>MfaHabilitado</w:t>
      </w:r>
      <w:r>
        <w:t xml:space="preserve"> existe, </w:t>
      </w:r>
      <w:r>
        <w:rPr>
          <w:b/>
        </w:rPr>
        <w:t>sem fluxo de segundo fator</w:t>
      </w:r>
      <w:r>
        <w:t>.</w:t>
      </w:r>
    </w:p>
    <w:p>
      <w:pPr>
        <w:pStyle w:val="ListBullet"/>
      </w:pPr>
      <w:r>
        <w:rPr>
          <w:b/>
        </w:rPr>
        <w:t>Política de senha corporativa (REG-031/032):</w:t>
      </w:r>
      <w:r>
        <w:t xml:space="preserve"> só </w:t>
      </w:r>
      <w:r>
        <w:rPr>
          <w:rFonts w:ascii="Courier New" w:hAnsi="Courier New"/>
          <w:sz w:val="18"/>
        </w:rPr>
        <w:t>min 8</w:t>
      </w:r>
      <w:r>
        <w:t xml:space="preserve"> no registro; "nova senha ≠ atual" </w:t>
      </w:r>
      <w:r>
        <w:rPr>
          <w:b/>
        </w:rPr>
        <w:t>não implementado</w:t>
      </w:r>
    </w:p>
    <w:p>
      <w:r>
        <w:t xml:space="preserve">  (hash salgado impede comparação — </w:t>
      </w:r>
      <w:r>
        <w:rPr>
          <w:rFonts w:ascii="Courier New" w:hAnsi="Courier New"/>
          <w:sz w:val="18"/>
        </w:rPr>
        <w:t>Usuario.cs:74-90</w:t>
      </w:r>
      <w:r>
        <w:t>); complexidade/histórico/expiração pendentes — **requer decisão de</w:t>
      </w:r>
    </w:p>
    <w:p>
      <w:r>
        <w:t xml:space="preserve">  negócio/segurança** (MC itens 1 e 5).</w:t>
      </w:r>
    </w:p>
    <w:p>
      <w:pPr>
        <w:pStyle w:val="ListBullet"/>
      </w:pPr>
      <w:r>
        <w:rPr>
          <w:b/>
        </w:rPr>
        <w:t>Verificação de e-mail (REG-034/035):</w:t>
      </w:r>
      <w:r>
        <w:t xml:space="preserve"> sem campo </w:t>
      </w:r>
      <w:r>
        <w:rPr>
          <w:rFonts w:ascii="Courier New" w:hAnsi="Courier New"/>
          <w:sz w:val="18"/>
        </w:rPr>
        <w:t>EmailConfirmed</w:t>
      </w:r>
      <w:r>
        <w:t xml:space="preserve"> nem fluxo.</w:t>
      </w:r>
    </w:p>
    <w:p>
      <w:pPr>
        <w:pStyle w:val="ListBullet"/>
      </w:pPr>
      <w:r>
        <w:rPr>
          <w:b/>
        </w:rPr>
        <w:t>Self-register fiscal completo (REG-036):</w:t>
      </w:r>
      <w:r>
        <w:t xml:space="preserve"> valida CNPJ, mas CPF/município IBGE/tipo de telefone e seeds fiscais reais</w:t>
      </w:r>
    </w:p>
    <w:p>
      <w:r>
        <w:t xml:space="preserve">  ainda pendentes — </w:t>
      </w:r>
      <w:r>
        <w:rPr>
          <w:b/>
        </w:rPr>
        <w:t>requer contador/onboarding</w:t>
      </w:r>
      <w:r>
        <w:t xml:space="preserve"> (MC; overlay fiscal).</w:t>
      </w:r>
    </w:p>
    <w:p>
      <w:pPr>
        <w:pStyle w:val="ListBullet"/>
      </w:pPr>
      <w:r>
        <w:rPr>
          <w:b/>
        </w:rPr>
        <w:t>Rate limit parametrizável:</w:t>
      </w:r>
      <w:r>
        <w:t xml:space="preserve"> hoje hardcoded 5 tentativas / 15 min (</w:t>
      </w:r>
      <w:r>
        <w:rPr>
          <w:rFonts w:ascii="Courier New" w:hAnsi="Courier New"/>
          <w:sz w:val="18"/>
        </w:rPr>
        <w:t>AuthHandlers.cs:97</w:t>
      </w:r>
      <w:r>
        <w:t>); auto-ban de IP é manual.</w:t>
      </w:r>
    </w:p>
    <w:p>
      <w:pPr>
        <w:pStyle w:val="ListBullet"/>
      </w:pPr>
      <w:r>
        <w:rPr>
          <w:b/>
        </w:rPr>
        <w:t>Subdomínio-por-cliente / white-label:</w:t>
      </w:r>
      <w:r>
        <w:t xml:space="preserve"> </w:t>
      </w:r>
      <w:r>
        <w:rPr>
          <w:b/>
        </w:rPr>
        <w:t>adiado</w:t>
      </w:r>
      <w:r>
        <w:t xml:space="preserve"> por decisão (DECISOES §Topologia; MC).</w:t>
      </w:r>
    </w:p>
    <w:p>
      <w:pPr>
        <w:pStyle w:val="ListBullet"/>
      </w:pPr>
      <w:r>
        <w:rPr>
          <w:b/>
        </w:rPr>
        <w:t>Gates de processo:</w:t>
      </w:r>
      <w:r>
        <w:t xml:space="preserve"> Code Review e testes automatizados desta fatia — conferir tracker.</w:t>
      </w:r>
    </w:p>
    <w:p>
      <w:pPr>
        <w:pStyle w:val="Heading2"/>
      </w:pPr>
      <w:r>
        <w:t>7. Rastreabilidade</w:t>
      </w:r>
    </w:p>
    <w:p>
      <w:r>
        <w:t xml:space="preserve">EF </w:t>
      </w:r>
      <w:r>
        <w:rPr>
          <w:rFonts w:ascii="Courier New" w:hAnsi="Courier New"/>
          <w:sz w:val="18"/>
        </w:rPr>
        <w:t>EF_0_APLICATIVO_IDENTIDADE_E_CONTEXTO_TENANT_V1</w:t>
      </w:r>
      <w:r>
        <w:t xml:space="preserve"> (contrato) · MC (pendências + 12 itens de validação humana) ·</w:t>
      </w:r>
    </w:p>
    <w:p>
      <w:r>
        <w:rPr>
          <w:rFonts w:ascii="Courier New" w:hAnsi="Courier New"/>
          <w:sz w:val="18"/>
        </w:rPr>
        <w:t>VERIFICACAO_IMPLEMENTACAO_V1</w:t>
      </w:r>
      <w:r>
        <w:t xml:space="preserve"> (matriz campo×código; note que P0 como REG-006/logout/</w:t>
      </w:r>
      <w:r>
        <w:rPr>
          <w:rFonts w:ascii="Courier New" w:hAnsi="Courier New"/>
          <w:sz w:val="18"/>
        </w:rPr>
        <w:t>EmailTentado</w:t>
      </w:r>
      <w:r>
        <w:t xml:space="preserve"> único **já foram</w:t>
      </w:r>
    </w:p>
    <w:p>
      <w:r>
        <w:t xml:space="preserve">fechados** no branch atual) · </w:t>
      </w:r>
      <w:r>
        <w:rPr>
          <w:rFonts w:ascii="Courier New" w:hAnsi="Courier New"/>
          <w:sz w:val="18"/>
        </w:rPr>
        <w:t>DECISOES_IMPLANTACAO_V1</w:t>
      </w:r>
      <w:r>
        <w:t xml:space="preserve"> (multi-tenant N:N, login social, área Landlord, topologia,</w:t>
      </w:r>
    </w:p>
    <w:p>
      <w:r>
        <w:t xml:space="preserve">UX de seleção, fix IDOR) · </w:t>
      </w:r>
      <w:r>
        <w:rPr>
          <w:rFonts w:ascii="Courier New" w:hAnsi="Courier New"/>
          <w:sz w:val="18"/>
        </w:rPr>
        <w:t>MODELO_DADOS.md</w:t>
      </w:r>
      <w:r>
        <w:t xml:space="preserve"> Cluster 2 · migrations </w:t>
      </w:r>
      <w:r>
        <w:rPr>
          <w:rFonts w:ascii="Courier New" w:hAnsi="Courier New"/>
          <w:sz w:val="18"/>
        </w:rPr>
        <w:t>Fixes_1_04_Identidade_Seguranca</w:t>
      </w:r>
      <w:r>
        <w:t>,</w:t>
      </w:r>
    </w:p>
    <w:p>
      <w:r>
        <w:rPr>
          <w:rFonts w:ascii="Courier New" w:hAnsi="Courier New"/>
          <w:sz w:val="18"/>
        </w:rPr>
        <w:t>Implanta_1_04_LoginSocial</w:t>
      </w:r>
      <w:r>
        <w:t xml:space="preserve">, </w:t>
      </w:r>
      <w:r>
        <w:rPr>
          <w:rFonts w:ascii="Courier New" w:hAnsi="Courier New"/>
          <w:sz w:val="18"/>
        </w:rPr>
        <w:t>AddAuthCrossTenantRlsPolicies</w:t>
      </w:r>
      <w:r>
        <w:t xml:space="preserve"> em </w:t>
      </w:r>
      <w:r>
        <w:rPr>
          <w:rFonts w:ascii="Courier New" w:hAnsi="Courier New"/>
          <w:sz w:val="18"/>
        </w:rPr>
        <w:t>Epros.Modules.Aplicativo/Migrations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