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— 1.06 LIMITES_DE_PLANO (versão implantada V1)</w:t>
      </w:r>
    </w:p>
    <w:p>
      <w:pPr>
        <w:pStyle w:val="IntenseQuote"/>
      </w:pPr>
      <w:r>
        <w:rPr>
          <w:b/>
        </w:rPr>
        <w:t>Para que serve este documento.</w:t>
      </w:r>
      <w:r>
        <w:t xml:space="preserve"> A EF diz </w:t>
      </w:r>
      <w:r>
        <w:rPr>
          <w:i/>
        </w:rPr>
        <w:t>o que o submódulo deve fazer</w:t>
      </w:r>
      <w:r>
        <w:t xml:space="preserve"> (contrato); a MC diz </w:t>
      </w:r>
      <w:r>
        <w:rPr>
          <w:i/>
        </w:rPr>
        <w:t>o que ainda falta</w:t>
      </w:r>
      <w:r>
        <w:t>;</w:t>
      </w:r>
    </w:p>
    <w:p>
      <w:pPr>
        <w:pStyle w:val="IntenseQuote"/>
      </w:pPr>
      <w:r>
        <w:t xml:space="preserve">este </w:t>
      </w:r>
      <w:r>
        <w:rPr>
          <w:b/>
        </w:rPr>
        <w:t>MANUAL diz o que FOI construído e por quê</w:t>
      </w:r>
      <w:r>
        <w:t xml:space="preserve"> — a lógica, os relacionamentos com outros módulos, os campos e o</w:t>
      </w:r>
    </w:p>
    <w:p>
      <w:pPr>
        <w:pStyle w:val="IntenseQuote"/>
      </w:pPr>
      <w:r>
        <w:t>comportamento real no EprosERP. É a base para entender o submódulo sem ler o código. Reflete a implantação V1</w:t>
      </w:r>
    </w:p>
    <w:p>
      <w:pPr>
        <w:pStyle w:val="IntenseQuote"/>
      </w:pPr>
      <w:r>
        <w:t xml:space="preserve">(migration </w:t>
      </w:r>
      <w:r>
        <w:rPr>
          <w:rFonts w:ascii="Courier New" w:hAnsi="Courier New"/>
          <w:sz w:val="18"/>
        </w:rPr>
        <w:t>Implanta_1_06_LimitesDePlano</w:t>
      </w:r>
      <w:r>
        <w:t xml:space="preserve">, backend only, branch </w:t>
      </w:r>
      <w:r>
        <w:rPr>
          <w:rFonts w:ascii="Courier New" w:hAnsi="Courier New"/>
          <w:sz w:val="18"/>
        </w:rPr>
        <w:t>pente-fino/aplicativo</w:t>
      </w:r>
      <w:r>
        <w:t>).</w:t>
      </w:r>
    </w:p>
    <w:p>
      <w:pPr>
        <w:pStyle w:val="Heading2"/>
      </w:pPr>
      <w:r>
        <w:t>1. O que o submódulo faz</w:t>
      </w:r>
    </w:p>
    <w:p>
      <w:r>
        <w:t xml:space="preserve">Governa o </w:t>
      </w:r>
      <w:r>
        <w:rPr>
          <w:b/>
        </w:rPr>
        <w:t>entitlement do SaaS</w:t>
      </w:r>
      <w:r>
        <w:t xml:space="preserve">: decide, para cada tenant, </w:t>
      </w:r>
      <w:r>
        <w:rPr>
          <w:b/>
        </w:rPr>
        <w:t>quais MÓDULOS o plano libera</w:t>
      </w:r>
      <w:r>
        <w:t xml:space="preserve"> (flags</w:t>
      </w:r>
    </w:p>
    <w:p>
      <w:r>
        <w:rPr>
          <w:rFonts w:ascii="Courier New" w:hAnsi="Courier New"/>
          <w:sz w:val="18"/>
        </w:rPr>
        <w:t>Plano.ModuloCrm/Projetos/Rh/Financeiro/Pdv</w:t>
      </w:r>
      <w:r>
        <w:t xml:space="preserve">) e </w:t>
      </w:r>
      <w:r>
        <w:rPr>
          <w:b/>
        </w:rPr>
        <w:t>quanto de cada recurso</w:t>
      </w:r>
      <w:r>
        <w:t xml:space="preserve"> ele pode consumir (cotas de usuários,</w:t>
      </w:r>
    </w:p>
    <w:p>
      <w:r>
        <w:t xml:space="preserve">empresas, clientes e papéis). São dois eixos: (a) </w:t>
      </w:r>
      <w:r>
        <w:rPr>
          <w:b/>
        </w:rPr>
        <w:t>entitlement por rota</w:t>
      </w:r>
      <w:r>
        <w:t xml:space="preserve"> — um middleware cruza o prefixo da rota</w:t>
      </w:r>
    </w:p>
    <w:p>
      <w:r>
        <w:t xml:space="preserve">com a flag do módulo no plano do tenant e responde </w:t>
      </w:r>
      <w:r>
        <w:rPr>
          <w:b/>
        </w:rPr>
        <w:t>403</w:t>
      </w:r>
      <w:r>
        <w:t xml:space="preserve"> se o módulo não foi contratado; (b) </w:t>
      </w:r>
      <w:r>
        <w:rPr>
          <w:b/>
        </w:rPr>
        <w:t>cotas quantitativas</w:t>
      </w:r>
      <w:r>
        <w:t xml:space="preserve"> —</w:t>
      </w:r>
    </w:p>
    <w:p>
      <w:r>
        <w:t xml:space="preserve">o </w:t>
      </w:r>
      <w:r>
        <w:rPr>
          <w:rFonts w:ascii="Courier New" w:hAnsi="Courier New"/>
          <w:sz w:val="18"/>
        </w:rPr>
        <w:t>ValidadorLimitesSaaS</w:t>
      </w:r>
      <w:r>
        <w:t xml:space="preserve"> conta o consumo atual e bloqueia a criação </w:t>
      </w:r>
      <w:r>
        <w:rPr>
          <w:b/>
        </w:rPr>
        <w:t>antes de persistir</w:t>
      </w:r>
      <w:r>
        <w:t xml:space="preserve"> quando o limite seria</w:t>
      </w:r>
    </w:p>
    <w:p>
      <w:r>
        <w:t xml:space="preserve">ultrapassado. Sobre esses eixos ainda atua o </w:t>
      </w:r>
      <w:r>
        <w:rPr>
          <w:b/>
        </w:rPr>
        <w:t>bloqueio por inadimplência</w:t>
      </w:r>
      <w:r>
        <w:t xml:space="preserve"> (read-only/402 quando há fatura vencida</w:t>
      </w:r>
    </w:p>
    <w:p>
      <w:r>
        <w:t xml:space="preserve">além da tolerância do plano). A cota contratada no </w:t>
      </w:r>
      <w:r>
        <w:rPr>
          <w:rFonts w:ascii="Courier New" w:hAnsi="Courier New"/>
          <w:sz w:val="18"/>
        </w:rPr>
        <w:t>Cliente</w:t>
      </w:r>
      <w:r>
        <w:t xml:space="preserve"> (snapshot) </w:t>
      </w:r>
      <w:r>
        <w:rPr>
          <w:b/>
        </w:rPr>
        <w:t>sobrepõe</w:t>
      </w:r>
      <w:r>
        <w:t xml:space="preserve"> o limite base do </w:t>
      </w:r>
      <w:r>
        <w:rPr>
          <w:rFonts w:ascii="Courier New" w:hAnsi="Courier New"/>
          <w:sz w:val="18"/>
        </w:rPr>
        <w:t>Plano</w:t>
      </w:r>
      <w:r>
        <w:t>.</w:t>
      </w:r>
    </w:p>
    <w:p>
      <w:pPr>
        <w:pStyle w:val="Heading2"/>
      </w:pPr>
      <w:r>
        <w:t>2. Onde vive no código</w:t>
      </w:r>
    </w:p>
    <w:p>
      <w:pPr>
        <w:pStyle w:val="ListBullet"/>
      </w:pPr>
      <w:r>
        <w:rPr>
          <w:b/>
        </w:rPr>
        <w:t>`src/API/Epros.API/Middlewares/ModuloTenantMiddleware.cs`</w:t>
      </w:r>
      <w:r>
        <w:t xml:space="preserve"> — entitlement rota→flag (403 </w:t>
      </w:r>
      <w:r>
        <w:rPr>
          <w:rFonts w:ascii="Courier New" w:hAnsi="Courier New"/>
          <w:sz w:val="18"/>
        </w:rPr>
        <w:t>modulo_nao_contratado</w:t>
      </w:r>
      <w:r>
        <w:t>).</w:t>
      </w:r>
    </w:p>
    <w:p>
      <w:pPr>
        <w:pStyle w:val="ListBullet"/>
      </w:pPr>
      <w:r>
        <w:rPr>
          <w:b/>
        </w:rPr>
        <w:t>`src/API/Epros.API/Middlewares/BloqueioInadimplenciaMiddleware.cs`</w:t>
      </w:r>
      <w:r>
        <w:t xml:space="preserve"> — gate 402 por inadimplência (prazo do plano).</w:t>
      </w:r>
    </w:p>
    <w:p>
      <w:pPr>
        <w:pStyle w:val="ListBullet"/>
      </w:pPr>
      <w:r>
        <w:rPr>
          <w:b/>
        </w:rPr>
        <w:t>`src/Modules/Epros.Modules.Aplicativo/Application/Services/ValidadorLimitesSaaS.cs`</w:t>
      </w:r>
      <w:r>
        <w:t xml:space="preserve"> — motor de cotas (usuários,</w:t>
      </w:r>
    </w:p>
    <w:p>
      <w:r>
        <w:t xml:space="preserve">  empresas, clientes, permissões).</w:t>
      </w:r>
    </w:p>
    <w:p>
      <w:pPr>
        <w:pStyle w:val="ListBullet"/>
      </w:pPr>
      <w:r>
        <w:rPr>
          <w:b/>
        </w:rPr>
        <w:t>`src/Shared/Epros.Shared/Application/Contracts/IValidadorLimitesSaaS.cs`</w:t>
      </w:r>
      <w:r>
        <w:t xml:space="preserve"> — porta compartilhada (6 métodos).</w:t>
      </w:r>
    </w:p>
    <w:p>
      <w:pPr>
        <w:pStyle w:val="ListBullet"/>
      </w:pPr>
      <w:r>
        <w:rPr>
          <w:b/>
        </w:rPr>
        <w:t>Consumidores do validador:</w:t>
      </w:r>
      <w:r>
        <w:t xml:space="preserve"> </w:t>
      </w:r>
      <w:r>
        <w:rPr>
          <w:rFonts w:ascii="Courier New" w:hAnsi="Courier New"/>
          <w:sz w:val="18"/>
        </w:rPr>
        <w:t>Epros.Modules.Aplicativo/.../Handlers/UsuarioHandlers.cs</w:t>
      </w:r>
      <w:r>
        <w:t xml:space="preserve"> (criar/ativar usuário),</w:t>
      </w:r>
    </w:p>
    <w:p>
      <w:r>
        <w:t xml:space="preserve">  </w:t>
      </w:r>
      <w:r>
        <w:rPr>
          <w:rFonts w:ascii="Courier New" w:hAnsi="Courier New"/>
          <w:sz w:val="18"/>
        </w:rPr>
        <w:t>Epros.Modules.GestaoClientes/.../Handlers/CriarEmpresaCommandHandler.cs</w:t>
      </w:r>
      <w:r>
        <w:t xml:space="preserve">, </w:t>
      </w:r>
      <w:r>
        <w:rPr>
          <w:rFonts w:ascii="Courier New" w:hAnsi="Courier New"/>
          <w:sz w:val="18"/>
        </w:rPr>
        <w:t>.../CriarPessoaCommandHandler.cs</w:t>
      </w:r>
    </w:p>
    <w:p>
      <w:r>
        <w:t xml:space="preserve">  (cliente), </w:t>
      </w:r>
      <w:r>
        <w:rPr>
          <w:rFonts w:ascii="Courier New" w:hAnsi="Courier New"/>
          <w:sz w:val="18"/>
        </w:rPr>
        <w:t>.../RbacHandlers.cs</w:t>
      </w:r>
      <w:r>
        <w:t xml:space="preserve"> (papel).</w:t>
      </w:r>
    </w:p>
    <w:p>
      <w:pPr>
        <w:pStyle w:val="ListBullet"/>
      </w:pPr>
      <w:r>
        <w:rPr>
          <w:b/>
        </w:rPr>
        <w:t>Domínio:</w:t>
      </w:r>
      <w:r>
        <w:t xml:space="preserve"> </w:t>
      </w:r>
      <w:r>
        <w:rPr>
          <w:rFonts w:ascii="Courier New" w:hAnsi="Courier New"/>
          <w:sz w:val="18"/>
        </w:rPr>
        <w:t>Epros.Modules.GestaoClientes/Domain/Entities/Plano.cs</w:t>
      </w:r>
      <w:r>
        <w:t xml:space="preserve">, </w:t>
      </w:r>
      <w:r>
        <w:rPr>
          <w:rFonts w:ascii="Courier New" w:hAnsi="Courier New"/>
          <w:sz w:val="18"/>
        </w:rPr>
        <w:t>.../Cliente.cs</w:t>
      </w:r>
      <w:r>
        <w:t>,</w:t>
      </w:r>
    </w:p>
    <w:p>
      <w:r>
        <w:t xml:space="preserve">  </w:t>
      </w:r>
      <w:r>
        <w:rPr>
          <w:rFonts w:ascii="Courier New" w:hAnsi="Courier New"/>
          <w:sz w:val="18"/>
        </w:rPr>
        <w:t>.../WebhookEventoProcessado.cs</w:t>
      </w:r>
      <w:r>
        <w:t>.</w:t>
      </w:r>
    </w:p>
    <w:p>
      <w:pPr>
        <w:pStyle w:val="ListBullet"/>
      </w:pPr>
      <w:r>
        <w:rPr>
          <w:b/>
        </w:rPr>
        <w:t>Registro:</w:t>
      </w:r>
      <w:r>
        <w:t xml:space="preserve"> </w:t>
      </w:r>
      <w:r>
        <w:rPr>
          <w:rFonts w:ascii="Courier New" w:hAnsi="Courier New"/>
          <w:sz w:val="18"/>
        </w:rPr>
        <w:t>Program.cs:102</w:t>
      </w:r>
      <w:r>
        <w:t xml:space="preserve"> (DI do validador), </w:t>
      </w:r>
      <w:r>
        <w:rPr>
          <w:rFonts w:ascii="Courier New" w:hAnsi="Courier New"/>
          <w:sz w:val="18"/>
        </w:rPr>
        <w:t>Program.cs:698-700</w:t>
      </w:r>
      <w:r>
        <w:t xml:space="preserve"> (ordem dos middlewares).</w:t>
      </w:r>
    </w:p>
    <w:p>
      <w:pPr>
        <w:pStyle w:val="Heading2"/>
      </w:pPr>
      <w:r>
        <w:t>3. Entidades e campos implantados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Campos-chave (V1 em </w:t>
            </w:r>
            <w:r>
              <w:rPr>
                <w:b/>
              </w:rPr>
              <w:t>negrito</w:t>
            </w:r>
            <w:r>
              <w:rPr>
                <w:b/>
              </w:rPr>
              <w:t>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Papel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Plano</w:t>
            </w:r>
          </w:p>
        </w:tc>
        <w:tc>
          <w:tcPr>
            <w:tcW w:type="dxa" w:w="2880"/>
          </w:tcPr>
          <w:p>
            <w:r>
              <w:t xml:space="preserve">LimiteUsuarios, LimiteEmpresas, </w:t>
            </w:r>
            <w:r>
              <w:rPr>
                <w:b/>
              </w:rPr>
              <w:t>LimiteClientes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Plano.cs:19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0</w:t>
            </w:r>
            <w:r>
              <w:t xml:space="preserve">=ilimitado), </w:t>
            </w:r>
            <w:r>
              <w:rPr>
                <w:b/>
              </w:rPr>
              <w:t>DiasToleranciaInadimplencia?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:23</w:t>
            </w:r>
            <w:r>
              <w:t xml:space="preserve">, default 15), Duration, flags </w:t>
            </w:r>
            <w:r>
              <w:rPr>
                <w:b/>
              </w:rPr>
              <w:t>ModuloCrm/Projetos/Rh/Financeiro/Pdv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:35-39</w:t>
            </w:r>
            <w:r>
              <w:t>)</w:t>
            </w:r>
          </w:p>
        </w:tc>
        <w:tc>
          <w:tcPr>
            <w:tcW w:type="dxa" w:w="2880"/>
          </w:tcPr>
          <w:p>
            <w:r>
              <w:t>Teto de recursos + entitlement de módulos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Cliente</w:t>
            </w:r>
            <w:r>
              <w:t xml:space="preserve"> (tenant assinante)</w:t>
            </w:r>
          </w:p>
        </w:tc>
        <w:tc>
          <w:tcPr>
            <w:tcW w:type="dxa" w:w="2880"/>
          </w:tcPr>
          <w:p>
            <w:r>
              <w:t>PlanoId, StatusSaaS, CotaUsuarios?, CotaEmpresas?, CotaPermissoes? (</w:t>
            </w:r>
            <w:r>
              <w:rPr>
                <w:rFonts w:ascii="Courier New" w:hAnsi="Courier New"/>
                <w:sz w:val="18"/>
              </w:rPr>
              <w:t>Cliente.cs:31-33</w:t>
            </w:r>
            <w:r>
              <w:t xml:space="preserve">), </w:t>
            </w:r>
            <w:r>
              <w:rPr>
                <w:b/>
              </w:rPr>
              <w:t>CotaClientes?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:37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Override de cota por contrato (snapshot); </w:t>
            </w:r>
            <w:r>
              <w:rPr>
                <w:rFonts w:ascii="Courier New" w:hAnsi="Courier New"/>
                <w:sz w:val="18"/>
              </w:rPr>
              <w:t>null</w:t>
            </w:r>
            <w:r>
              <w:t>=usa o plano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WebhookEventoProcessado</w:t>
            </w:r>
            <w:r>
              <w:t xml:space="preserve"> </w:t>
            </w:r>
            <w:r>
              <w:rPr>
                <w:i/>
              </w:rPr>
              <w:t>(novo)</w:t>
            </w:r>
          </w:p>
        </w:tc>
        <w:tc>
          <w:tcPr>
            <w:tcW w:type="dxa" w:w="2880"/>
          </w:tcPr>
          <w:p>
            <w:r>
              <w:t>Provedor, EventoId, TenantId (</w:t>
            </w:r>
            <w:r>
              <w:rPr>
                <w:rFonts w:ascii="Courier New" w:hAnsi="Courier New"/>
                <w:sz w:val="18"/>
              </w:rPr>
              <w:t>system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Dedupe idempotente de webhook (índice único </w:t>
            </w:r>
            <w:r>
              <w:rPr>
                <w:rFonts w:ascii="Courier New" w:hAnsi="Courier New"/>
                <w:sz w:val="18"/>
              </w:rPr>
              <w:t>(provedor, evento_id)</w:t>
            </w:r>
            <w:r>
              <w:t>)</w:t>
            </w:r>
          </w:p>
        </w:tc>
      </w:tr>
    </w:tbl>
    <w:p/>
    <w:p>
      <w:pPr>
        <w:pStyle w:val="Heading2"/>
      </w:pPr>
      <w:r>
        <w:t>4. A lógica (regras implantadas)</w:t>
      </w:r>
    </w:p>
    <w:p>
      <w:pPr>
        <w:pStyle w:val="ListNumber"/>
      </w:pPr>
      <w:r>
        <w:rPr>
          <w:b/>
        </w:rPr>
        <w:t>Entitlement rota→flag (REG-002).</w:t>
      </w:r>
      <w:r>
        <w:t xml:space="preserve"> </w:t>
      </w:r>
      <w:r>
        <w:rPr>
          <w:rFonts w:ascii="Courier New" w:hAnsi="Courier New"/>
          <w:sz w:val="18"/>
        </w:rPr>
        <w:t>ModuloTenantMiddleware</w:t>
      </w:r>
      <w:r>
        <w:t xml:space="preserve"> mantém um </w:t>
      </w:r>
      <w:r>
        <w:rPr>
          <w:b/>
        </w:rPr>
        <w:t>mapa explícito prefixo→flag</w:t>
      </w:r>
    </w:p>
    <w:p>
      <w:r>
        <w:t xml:space="preserve">   (</w:t>
      </w:r>
      <w:r>
        <w:rPr>
          <w:rFonts w:ascii="Courier New" w:hAnsi="Courier New"/>
          <w:sz w:val="18"/>
        </w:rPr>
        <w:t>ModuloTenantMiddleware.cs:43-54</w:t>
      </w:r>
      <w:r>
        <w:t xml:space="preserve">): </w:t>
      </w:r>
      <w:r>
        <w:rPr>
          <w:rFonts w:ascii="Courier New" w:hAnsi="Courier New"/>
          <w:sz w:val="18"/>
        </w:rPr>
        <w:t>/api/v1/financeiro</w:t>
      </w:r>
      <w:r>
        <w:t>→</w:t>
      </w:r>
      <w:r>
        <w:rPr>
          <w:rFonts w:ascii="Courier New" w:hAnsi="Courier New"/>
          <w:sz w:val="18"/>
        </w:rPr>
        <w:t>ModuloFinanceiro</w:t>
      </w:r>
      <w:r>
        <w:t xml:space="preserve">, </w:t>
      </w:r>
      <w:r>
        <w:rPr>
          <w:rFonts w:ascii="Courier New" w:hAnsi="Courier New"/>
          <w:sz w:val="18"/>
        </w:rPr>
        <w:t>/api/v1/rh</w:t>
      </w:r>
      <w:r>
        <w:t>→</w:t>
      </w:r>
      <w:r>
        <w:rPr>
          <w:rFonts w:ascii="Courier New" w:hAnsi="Courier New"/>
          <w:sz w:val="18"/>
        </w:rPr>
        <w:t>ModuloRh</w:t>
      </w:r>
      <w:r>
        <w:t>,</w:t>
      </w:r>
    </w:p>
    <w:p>
      <w:r>
        <w:t xml:space="preserve">   </w:t>
      </w:r>
      <w:r>
        <w:rPr>
          <w:rFonts w:ascii="Courier New" w:hAnsi="Courier New"/>
          <w:sz w:val="18"/>
        </w:rPr>
        <w:t>/api/v1/projetos</w:t>
      </w:r>
      <w:r>
        <w:t>→</w:t>
      </w:r>
      <w:r>
        <w:rPr>
          <w:rFonts w:ascii="Courier New" w:hAnsi="Courier New"/>
          <w:sz w:val="18"/>
        </w:rPr>
        <w:t>ModuloProjetos</w:t>
      </w:r>
      <w:r>
        <w:t xml:space="preserve">, </w:t>
      </w:r>
      <w:r>
        <w:rPr>
          <w:rFonts w:ascii="Courier New" w:hAnsi="Courier New"/>
          <w:sz w:val="18"/>
        </w:rPr>
        <w:t>/api/v1/vendas</w:t>
      </w:r>
      <w:r>
        <w:t>→</w:t>
      </w:r>
      <w:r>
        <w:rPr>
          <w:rFonts w:ascii="Courier New" w:hAnsi="Courier New"/>
          <w:sz w:val="18"/>
        </w:rPr>
        <w:t>ModuloPdv</w:t>
      </w:r>
      <w:r>
        <w:t>. Fluxo (</w:t>
      </w:r>
      <w:r>
        <w:rPr>
          <w:rFonts w:ascii="Courier New" w:hAnsi="Courier New"/>
          <w:sz w:val="18"/>
        </w:rPr>
        <w:t>:56-131</w:t>
      </w:r>
      <w:r>
        <w:t xml:space="preserve">): resolve o </w:t>
      </w:r>
      <w:r>
        <w:rPr>
          <w:rFonts w:ascii="Courier New" w:hAnsi="Courier New"/>
          <w:sz w:val="18"/>
        </w:rPr>
        <w:t>TenantId</w:t>
      </w:r>
      <w:r>
        <w:t xml:space="preserve"> do</w:t>
      </w:r>
    </w:p>
    <w:p>
      <w:r>
        <w:t xml:space="preserve">   request; </w:t>
      </w:r>
      <w:r>
        <w:rPr>
          <w:rFonts w:ascii="Courier New" w:hAnsi="Courier New"/>
          <w:sz w:val="18"/>
        </w:rPr>
        <w:t>system</w:t>
      </w:r>
      <w:r>
        <w:t>/</w:t>
      </w:r>
      <w:r>
        <w:rPr>
          <w:rFonts w:ascii="Courier New" w:hAnsi="Courier New"/>
          <w:sz w:val="18"/>
        </w:rPr>
        <w:t>tenant-padrao</w:t>
      </w:r>
      <w:r>
        <w:t xml:space="preserve">/vazio e endpoints </w:t>
      </w:r>
      <w:r>
        <w:rPr>
          <w:rFonts w:ascii="Courier New" w:hAnsi="Courier New"/>
          <w:sz w:val="18"/>
        </w:rPr>
        <w:t>[AllowAnonymous]</w:t>
      </w:r>
      <w:r>
        <w:t xml:space="preserve"> passam sempre (</w:t>
      </w:r>
      <w:r>
        <w:rPr>
          <w:rFonts w:ascii="Courier New" w:hAnsi="Courier New"/>
          <w:sz w:val="18"/>
        </w:rPr>
        <w:t>:62-75</w:t>
      </w:r>
      <w:r>
        <w:t>); se a rota não casa</w:t>
      </w:r>
    </w:p>
    <w:p>
      <w:r>
        <w:t xml:space="preserve">   nenhum prefixo, passa (cadastro base/plataforma, </w:t>
      </w:r>
      <w:r>
        <w:rPr>
          <w:rFonts w:ascii="Courier New" w:hAnsi="Courier New"/>
          <w:sz w:val="18"/>
        </w:rPr>
        <w:t>:78-83</w:t>
      </w:r>
      <w:r>
        <w:t>); senão resolve as flags do plano do tenant (cacheadas</w:t>
      </w:r>
    </w:p>
    <w:p>
      <w:r>
        <w:t xml:space="preserve">   60s em </w:t>
      </w:r>
      <w:r>
        <w:rPr>
          <w:rFonts w:ascii="Courier New" w:hAnsi="Courier New"/>
          <w:sz w:val="18"/>
        </w:rPr>
        <w:t>IMemoryCache</w:t>
      </w:r>
      <w:r>
        <w:t xml:space="preserve">, chave </w:t>
      </w:r>
      <w:r>
        <w:rPr>
          <w:rFonts w:ascii="Courier New" w:hAnsi="Courier New"/>
          <w:sz w:val="18"/>
        </w:rPr>
        <w:t>tenant_modulos:{tenantId}</w:t>
      </w:r>
      <w:r>
        <w:t xml:space="preserve">, </w:t>
      </w:r>
      <w:r>
        <w:rPr>
          <w:rFonts w:ascii="Courier New" w:hAnsi="Courier New"/>
          <w:sz w:val="18"/>
        </w:rPr>
        <w:t>:86-111</w:t>
      </w:r>
      <w:r>
        <w:t xml:space="preserve">) e, se a flag do módulo é </w:t>
      </w:r>
      <w:r>
        <w:rPr>
          <w:rFonts w:ascii="Courier New" w:hAnsi="Courier New"/>
          <w:sz w:val="18"/>
        </w:rPr>
        <w:t>false</w:t>
      </w:r>
      <w:r>
        <w:t>, retorna</w:t>
      </w:r>
    </w:p>
    <w:p>
      <w:r>
        <w:t xml:space="preserve">   </w:t>
      </w:r>
      <w:r>
        <w:rPr>
          <w:b/>
        </w:rPr>
        <w:t>403</w:t>
      </w:r>
      <w:r>
        <w:t xml:space="preserve"> JSON </w:t>
      </w:r>
      <w:r>
        <w:rPr>
          <w:rFonts w:ascii="Courier New" w:hAnsi="Courier New"/>
          <w:sz w:val="18"/>
        </w:rPr>
        <w:t>code: modulo_nao_contratado</w:t>
      </w:r>
      <w:r>
        <w:t xml:space="preserve"> (</w:t>
      </w:r>
      <w:r>
        <w:rPr>
          <w:rFonts w:ascii="Courier New" w:hAnsi="Courier New"/>
          <w:sz w:val="18"/>
        </w:rPr>
        <w:t>:120-128</w:t>
      </w:r>
      <w:r>
        <w:t xml:space="preserve">). </w:t>
      </w:r>
      <w:r>
        <w:rPr>
          <w:b/>
        </w:rPr>
        <w:t>Fail-safe:</w:t>
      </w:r>
      <w:r>
        <w:t xml:space="preserve"> cliente/plano não resolvível → passa</w:t>
      </w:r>
    </w:p>
    <w:p>
      <w:r>
        <w:t xml:space="preserve">   (</w:t>
      </w:r>
      <w:r>
        <w:rPr>
          <w:rFonts w:ascii="Courier New" w:hAnsi="Courier New"/>
          <w:sz w:val="18"/>
        </w:rPr>
        <w:t>:94-97</w:t>
      </w:r>
      <w:r>
        <w:t xml:space="preserve">, </w:t>
      </w:r>
      <w:r>
        <w:rPr>
          <w:rFonts w:ascii="Courier New" w:hAnsi="Courier New"/>
          <w:sz w:val="18"/>
        </w:rPr>
        <w:t>:114-118</w:t>
      </w:r>
      <w:r>
        <w:t xml:space="preserve">). </w:t>
      </w:r>
      <w:r>
        <w:rPr>
          <w:b/>
        </w:rPr>
        <w:t>CRM não tem rota</w:t>
      </w:r>
      <w:r>
        <w:t xml:space="preserve"> hoje → flag </w:t>
      </w:r>
      <w:r>
        <w:rPr>
          <w:rFonts w:ascii="Courier New" w:hAnsi="Courier New"/>
          <w:sz w:val="18"/>
        </w:rPr>
        <w:t>ModuloCrm</w:t>
      </w:r>
      <w:r>
        <w:t xml:space="preserve"> fica sem consumidor (documentado no próprio</w:t>
      </w:r>
    </w:p>
    <w:p>
      <w:r>
        <w:t xml:space="preserve">   comentário, </w:t>
      </w:r>
      <w:r>
        <w:rPr>
          <w:rFonts w:ascii="Courier New" w:hAnsi="Courier New"/>
          <w:sz w:val="18"/>
        </w:rPr>
        <w:t>:40-41</w:t>
      </w:r>
      <w:r>
        <w:t>).</w:t>
      </w:r>
    </w:p>
    <w:p>
      <w:pPr>
        <w:pStyle w:val="ListNumber"/>
      </w:pPr>
      <w:r>
        <w:rPr>
          <w:b/>
        </w:rPr>
        <w:t>Cota sobrepõe o plano (REG-006).</w:t>
      </w:r>
      <w:r>
        <w:t xml:space="preserve"> Em todos os métodos do </w:t>
      </w:r>
      <w:r>
        <w:rPr>
          <w:rFonts w:ascii="Courier New" w:hAnsi="Courier New"/>
          <w:sz w:val="18"/>
        </w:rPr>
        <w:t>ValidadorLimitesSaaS</w:t>
      </w:r>
      <w:r>
        <w:t xml:space="preserve"> a resolução é</w:t>
      </w:r>
    </w:p>
    <w:p>
      <w:r>
        <w:t xml:space="preserve">   </w:t>
      </w:r>
      <w:r>
        <w:rPr>
          <w:rFonts w:ascii="Courier New" w:hAnsi="Courier New"/>
          <w:sz w:val="18"/>
        </w:rPr>
        <w:t>cliente.CotaX ?? plano.LimiteX</w:t>
      </w:r>
      <w:r>
        <w:t>: usuários (</w:t>
      </w:r>
      <w:r>
        <w:rPr>
          <w:rFonts w:ascii="Courier New" w:hAnsi="Courier New"/>
          <w:sz w:val="18"/>
        </w:rPr>
        <w:t>:68</w:t>
      </w:r>
      <w:r>
        <w:t>), empresas (</w:t>
      </w:r>
      <w:r>
        <w:rPr>
          <w:rFonts w:ascii="Courier New" w:hAnsi="Courier New"/>
          <w:sz w:val="18"/>
        </w:rPr>
        <w:t>:120</w:t>
      </w:r>
      <w:r>
        <w:t>), clientes (</w:t>
      </w:r>
      <w:r>
        <w:rPr>
          <w:rFonts w:ascii="Courier New" w:hAnsi="Courier New"/>
          <w:sz w:val="18"/>
        </w:rPr>
        <w:t>:173</w:t>
      </w:r>
      <w:r>
        <w:t>). Vazio → vale o plano;</w:t>
      </w:r>
    </w:p>
    <w:p>
      <w:r>
        <w:t xml:space="preserve">   preenchido → override comercial por cliente.</w:t>
      </w:r>
    </w:p>
    <w:p>
      <w:pPr>
        <w:pStyle w:val="ListNumber"/>
      </w:pPr>
      <w:r>
        <w:rPr>
          <w:b/>
        </w:rPr>
        <w:t>`0 = ilimitado` (REG-014).</w:t>
      </w:r>
      <w:r>
        <w:t xml:space="preserve"> Convenção única: </w:t>
      </w:r>
      <w:r>
        <w:rPr>
          <w:rFonts w:ascii="Courier New" w:hAnsi="Courier New"/>
          <w:sz w:val="18"/>
        </w:rPr>
        <w:t>if (limite &lt;= 0) return liberado</w:t>
      </w:r>
      <w:r>
        <w:t xml:space="preserve"> (</w:t>
      </w:r>
      <w:r>
        <w:rPr>
          <w:rFonts w:ascii="Courier New" w:hAnsi="Courier New"/>
          <w:sz w:val="18"/>
        </w:rPr>
        <w:t>:71</w:t>
      </w:r>
      <w:r>
        <w:t xml:space="preserve">, </w:t>
      </w:r>
      <w:r>
        <w:rPr>
          <w:rFonts w:ascii="Courier New" w:hAnsi="Courier New"/>
          <w:sz w:val="18"/>
        </w:rPr>
        <w:t>:123</w:t>
      </w:r>
      <w:r>
        <w:t xml:space="preserve">, </w:t>
      </w:r>
      <w:r>
        <w:rPr>
          <w:rFonts w:ascii="Courier New" w:hAnsi="Courier New"/>
          <w:sz w:val="18"/>
        </w:rPr>
        <w:t>:176</w:t>
      </w:r>
      <w:r>
        <w:t>). O</w:t>
      </w:r>
    </w:p>
    <w:p>
      <w:r>
        <w:t xml:space="preserve">   domínio foi alinhado — construtor e </w:t>
      </w:r>
      <w:r>
        <w:rPr>
          <w:rFonts w:ascii="Courier New" w:hAnsi="Courier New"/>
          <w:sz w:val="18"/>
        </w:rPr>
        <w:t>Atualizar</w:t>
      </w:r>
      <w:r>
        <w:t xml:space="preserve"> de </w:t>
      </w:r>
      <w:r>
        <w:rPr>
          <w:rFonts w:ascii="Courier New" w:hAnsi="Courier New"/>
          <w:sz w:val="18"/>
        </w:rPr>
        <w:t>Plano</w:t>
      </w:r>
      <w:r>
        <w:t xml:space="preserve"> usam </w:t>
      </w:r>
      <w:r>
        <w:rPr>
          <w:rFonts w:ascii="Courier New" w:hAnsi="Courier New"/>
          <w:sz w:val="18"/>
        </w:rPr>
        <w:t>IsGreaterOrEqualsThan(x, 0)</w:t>
      </w:r>
      <w:r>
        <w:t xml:space="preserve"> para os três limites</w:t>
      </w:r>
    </w:p>
    <w:p>
      <w:r>
        <w:t xml:space="preserve">   (</w:t>
      </w:r>
      <w:r>
        <w:rPr>
          <w:rFonts w:ascii="Courier New" w:hAnsi="Courier New"/>
          <w:sz w:val="18"/>
        </w:rPr>
        <w:t>Plano.cs:80-82</w:t>
      </w:r>
      <w:r>
        <w:t xml:space="preserve">, </w:t>
      </w:r>
      <w:r>
        <w:rPr>
          <w:rFonts w:ascii="Courier New" w:hAnsi="Courier New"/>
          <w:sz w:val="18"/>
        </w:rPr>
        <w:t>:164-166</w:t>
      </w:r>
      <w:r>
        <w:t xml:space="preserve">), aceitando </w:t>
      </w:r>
      <w:r>
        <w:rPr>
          <w:rFonts w:ascii="Courier New" w:hAnsi="Courier New"/>
          <w:sz w:val="18"/>
        </w:rPr>
        <w:t>0</w:t>
      </w:r>
      <w:r>
        <w:t>.</w:t>
      </w:r>
    </w:p>
    <w:p>
      <w:pPr>
        <w:pStyle w:val="ListNumber"/>
      </w:pPr>
      <w:r>
        <w:rPr>
          <w:b/>
        </w:rPr>
        <w:t>Bloqueio "antes de persistir" (REG-016 / comparação).</w:t>
      </w:r>
      <w:r>
        <w:t xml:space="preserve"> A contagem usa </w:t>
      </w:r>
      <w:r>
        <w:rPr>
          <w:rFonts w:ascii="Courier New" w:hAnsi="Courier New"/>
          <w:sz w:val="18"/>
        </w:rPr>
        <w:t>totalAtual &gt;= limite</w:t>
      </w:r>
      <w:r>
        <w:t xml:space="preserve"> </w:t>
      </w:r>
      <w:r>
        <w:rPr>
          <w:b/>
        </w:rPr>
        <w:t>antes</w:t>
      </w:r>
      <w:r>
        <w:t xml:space="preserve"> de gravar</w:t>
      </w:r>
    </w:p>
    <w:p>
      <w:r>
        <w:t xml:space="preserve">   (</w:t>
      </w:r>
      <w:r>
        <w:rPr>
          <w:rFonts w:ascii="Courier New" w:hAnsi="Courier New"/>
          <w:sz w:val="18"/>
        </w:rPr>
        <w:t>ValidadorLimitesSaaS.cs:79</w:t>
      </w:r>
      <w:r>
        <w:t xml:space="preserve">, </w:t>
      </w:r>
      <w:r>
        <w:rPr>
          <w:rFonts w:ascii="Courier New" w:hAnsi="Courier New"/>
          <w:sz w:val="18"/>
        </w:rPr>
        <w:t>:131</w:t>
      </w:r>
      <w:r>
        <w:t xml:space="preserve">, </w:t>
      </w:r>
      <w:r>
        <w:rPr>
          <w:rFonts w:ascii="Courier New" w:hAnsi="Courier New"/>
          <w:sz w:val="18"/>
        </w:rPr>
        <w:t>:185</w:t>
      </w:r>
      <w:r>
        <w:t>) — equivale a "a solicitação faria ultrapassar". Usuários contam só</w:t>
      </w:r>
    </w:p>
    <w:p>
      <w:r>
        <w:t xml:space="preserve">   </w:t>
      </w:r>
      <w:r>
        <w:rPr>
          <w:rFonts w:ascii="Courier New" w:hAnsi="Courier New"/>
          <w:sz w:val="18"/>
        </w:rPr>
        <w:t>Status == Active</w:t>
      </w:r>
      <w:r>
        <w:t xml:space="preserve"> (</w:t>
      </w:r>
      <w:r>
        <w:rPr>
          <w:rFonts w:ascii="Courier New" w:hAnsi="Courier New"/>
          <w:sz w:val="18"/>
        </w:rPr>
        <w:t>:76-77</w:t>
      </w:r>
      <w:r>
        <w:t xml:space="preserve">); empresas contam </w:t>
      </w:r>
      <w:r>
        <w:rPr>
          <w:rFonts w:ascii="Courier New" w:hAnsi="Courier New"/>
          <w:sz w:val="18"/>
        </w:rPr>
        <w:t>Empresas</w:t>
      </w:r>
      <w:r>
        <w:t xml:space="preserve"> do tenant (</w:t>
      </w:r>
      <w:r>
        <w:rPr>
          <w:rFonts w:ascii="Courier New" w:hAnsi="Courier New"/>
          <w:sz w:val="18"/>
        </w:rPr>
        <w:t>:128-129</w:t>
      </w:r>
      <w:r>
        <w:t xml:space="preserve">); clientes contam </w:t>
      </w:r>
      <w:r>
        <w:rPr>
          <w:rFonts w:ascii="Courier New" w:hAnsi="Courier New"/>
          <w:sz w:val="18"/>
        </w:rPr>
        <w:t>PessoasClientes</w:t>
      </w:r>
    </w:p>
    <w:p>
      <w:r>
        <w:t xml:space="preserve">   ativas (</w:t>
      </w:r>
      <w:r>
        <w:rPr>
          <w:rFonts w:ascii="Courier New" w:hAnsi="Courier New"/>
          <w:sz w:val="18"/>
        </w:rPr>
        <w:t>:181-183</w:t>
      </w:r>
      <w:r>
        <w:t xml:space="preserve">); papéis contam </w:t>
      </w:r>
      <w:r>
        <w:rPr>
          <w:rFonts w:ascii="Courier New" w:hAnsi="Courier New"/>
          <w:sz w:val="18"/>
        </w:rPr>
        <w:t>Papeis</w:t>
      </w:r>
      <w:r>
        <w:t xml:space="preserve"> ativos (</w:t>
      </w:r>
      <w:r>
        <w:rPr>
          <w:rFonts w:ascii="Courier New" w:hAnsi="Courier New"/>
          <w:sz w:val="18"/>
        </w:rPr>
        <w:t>:215-217</w:t>
      </w:r>
      <w:r>
        <w:t xml:space="preserve">). A mensagem inclui </w:t>
      </w:r>
      <w:r>
        <w:rPr>
          <w:rFonts w:ascii="Courier New" w:hAnsi="Courier New"/>
          <w:sz w:val="18"/>
        </w:rPr>
        <w:t>{atual}/{limite}</w:t>
      </w:r>
      <w:r>
        <w:t xml:space="preserve"> e sugere</w:t>
      </w:r>
    </w:p>
    <w:p>
      <w:r>
        <w:t xml:space="preserve">   upgrade (</w:t>
      </w:r>
      <w:r>
        <w:rPr>
          <w:rFonts w:ascii="Courier New" w:hAnsi="Courier New"/>
          <w:sz w:val="18"/>
        </w:rPr>
        <w:t>:81</w:t>
      </w:r>
      <w:r>
        <w:t xml:space="preserve">, </w:t>
      </w:r>
      <w:r>
        <w:rPr>
          <w:rFonts w:ascii="Courier New" w:hAnsi="Courier New"/>
          <w:sz w:val="18"/>
        </w:rPr>
        <w:t>:133</w:t>
      </w:r>
      <w:r>
        <w:t xml:space="preserve">, </w:t>
      </w:r>
      <w:r>
        <w:rPr>
          <w:rFonts w:ascii="Courier New" w:hAnsi="Courier New"/>
          <w:sz w:val="18"/>
        </w:rPr>
        <w:t>:187</w:t>
      </w:r>
      <w:r>
        <w:t xml:space="preserve">, </w:t>
      </w:r>
      <w:r>
        <w:rPr>
          <w:rFonts w:ascii="Courier New" w:hAnsi="Courier New"/>
          <w:sz w:val="18"/>
        </w:rPr>
        <w:t>:221</w:t>
      </w:r>
      <w:r>
        <w:t>).</w:t>
      </w:r>
    </w:p>
    <w:p>
      <w:pPr>
        <w:pStyle w:val="ListNumber"/>
      </w:pPr>
      <w:r>
        <w:rPr>
          <w:b/>
        </w:rPr>
        <w:t>Enforcement nos handlers (2+2 pontos).</w:t>
      </w:r>
      <w:r>
        <w:t xml:space="preserve"> </w:t>
      </w:r>
      <w:r>
        <w:rPr>
          <w:rFonts w:ascii="Courier New" w:hAnsi="Courier New"/>
          <w:sz w:val="18"/>
        </w:rPr>
        <w:t>ValidarLimiteUsuariosAsync</w:t>
      </w:r>
      <w:r>
        <w:t xml:space="preserve"> em </w:t>
      </w:r>
      <w:r>
        <w:rPr>
          <w:rFonts w:ascii="Courier New" w:hAnsi="Courier New"/>
          <w:sz w:val="18"/>
        </w:rPr>
        <w:t>UsuarioHandlers.cs:61</w:t>
      </w:r>
      <w:r>
        <w:t xml:space="preserve"> (criar) e </w:t>
      </w:r>
      <w:r>
        <w:rPr>
          <w:rFonts w:ascii="Courier New" w:hAnsi="Courier New"/>
          <w:sz w:val="18"/>
        </w:rPr>
        <w:t>:192</w:t>
      </w:r>
    </w:p>
    <w:p>
      <w:r>
        <w:t xml:space="preserve">   (ativar); </w:t>
      </w:r>
      <w:r>
        <w:rPr>
          <w:rFonts w:ascii="Courier New" w:hAnsi="Courier New"/>
          <w:sz w:val="18"/>
        </w:rPr>
        <w:t>ValidarLimiteEmpresasAsync</w:t>
      </w:r>
      <w:r>
        <w:t xml:space="preserve"> em </w:t>
      </w:r>
      <w:r>
        <w:rPr>
          <w:rFonts w:ascii="Courier New" w:hAnsi="Courier New"/>
          <w:sz w:val="18"/>
        </w:rPr>
        <w:t>CriarEmpresaCommandHandler.cs:40</w:t>
      </w:r>
      <w:r>
        <w:t xml:space="preserve">; </w:t>
      </w:r>
      <w:r>
        <w:rPr>
          <w:rFonts w:ascii="Courier New" w:hAnsi="Courier New"/>
          <w:sz w:val="18"/>
        </w:rPr>
        <w:t>ValidarLimiteClientesAsync</w:t>
      </w:r>
      <w:r>
        <w:t xml:space="preserve"> em</w:t>
      </w:r>
    </w:p>
    <w:p>
      <w:r>
        <w:t xml:space="preserve">   </w:t>
      </w:r>
      <w:r>
        <w:rPr>
          <w:rFonts w:ascii="Courier New" w:hAnsi="Courier New"/>
          <w:sz w:val="18"/>
        </w:rPr>
        <w:t>CriarPessoaCommandHandler.cs:46</w:t>
      </w:r>
      <w:r>
        <w:t xml:space="preserve"> (só quando </w:t>
      </w:r>
      <w:r>
        <w:rPr>
          <w:rFonts w:ascii="Courier New" w:hAnsi="Courier New"/>
          <w:sz w:val="18"/>
        </w:rPr>
        <w:t>EhCliente</w:t>
      </w:r>
      <w:r>
        <w:t xml:space="preserve">); </w:t>
      </w:r>
      <w:r>
        <w:rPr>
          <w:rFonts w:ascii="Courier New" w:hAnsi="Courier New"/>
          <w:sz w:val="18"/>
        </w:rPr>
        <w:t>ValidarLimitePermissoesAsync</w:t>
      </w:r>
      <w:r>
        <w:t xml:space="preserve"> em </w:t>
      </w:r>
      <w:r>
        <w:rPr>
          <w:rFonts w:ascii="Courier New" w:hAnsi="Courier New"/>
          <w:sz w:val="18"/>
        </w:rPr>
        <w:t>RbacHandlers.cs:34</w:t>
      </w:r>
    </w:p>
    <w:p>
      <w:r>
        <w:t xml:space="preserve">   (criar papel). Em cada ponto, </w:t>
      </w:r>
      <w:r>
        <w:rPr>
          <w:rFonts w:ascii="Courier New" w:hAnsi="Courier New"/>
          <w:sz w:val="18"/>
        </w:rPr>
        <w:t>Excedido</w:t>
      </w:r>
      <w:r>
        <w:t xml:space="preserve"> ⇒ o handler retorna falha antes de gravar.</w:t>
      </w:r>
    </w:p>
    <w:p>
      <w:pPr>
        <w:pStyle w:val="ListNumber"/>
      </w:pPr>
      <w:r>
        <w:rPr>
          <w:b/>
        </w:rPr>
        <w:t>Cota de permissões só no cliente (REG-014).</w:t>
      </w:r>
      <w:r>
        <w:t xml:space="preserve"> </w:t>
      </w:r>
      <w:r>
        <w:rPr>
          <w:rFonts w:ascii="Courier New" w:hAnsi="Courier New"/>
          <w:sz w:val="18"/>
        </w:rPr>
        <w:t>ValidarLimitePermissoesAsync</w:t>
      </w:r>
      <w:r>
        <w:t xml:space="preserve"> (</w:t>
      </w:r>
      <w:r>
        <w:rPr>
          <w:rFonts w:ascii="Courier New" w:hAnsi="Courier New"/>
          <w:sz w:val="18"/>
        </w:rPr>
        <w:t>:196-225</w:t>
      </w:r>
      <w:r>
        <w:t>) não tem teto no</w:t>
      </w:r>
    </w:p>
    <w:p>
      <w:r>
        <w:t xml:space="preserve">   </w:t>
      </w:r>
      <w:r>
        <w:rPr>
          <w:rFonts w:ascii="Courier New" w:hAnsi="Courier New"/>
          <w:sz w:val="18"/>
        </w:rPr>
        <w:t>Plano</w:t>
      </w:r>
      <w:r>
        <w:t xml:space="preserve"> — lê apenas </w:t>
      </w:r>
      <w:r>
        <w:rPr>
          <w:rFonts w:ascii="Courier New" w:hAnsi="Courier New"/>
          <w:sz w:val="18"/>
        </w:rPr>
        <w:t>Cliente.CotaPermissoes</w:t>
      </w:r>
      <w:r>
        <w:t xml:space="preserve">; </w:t>
      </w:r>
      <w:r>
        <w:rPr>
          <w:rFonts w:ascii="Courier New" w:hAnsi="Courier New"/>
          <w:sz w:val="18"/>
        </w:rPr>
        <w:t>null</w:t>
      </w:r>
      <w:r>
        <w:t>/</w:t>
      </w:r>
      <w:r>
        <w:rPr>
          <w:rFonts w:ascii="Courier New" w:hAnsi="Courier New"/>
          <w:sz w:val="18"/>
        </w:rPr>
        <w:t>&lt;= 0</w:t>
      </w:r>
      <w:r>
        <w:t xml:space="preserve"> = ilimitado (</w:t>
      </w:r>
      <w:r>
        <w:rPr>
          <w:rFonts w:ascii="Courier New" w:hAnsi="Courier New"/>
          <w:sz w:val="18"/>
        </w:rPr>
        <w:t>:208-211</w:t>
      </w:r>
      <w:r>
        <w:t>). Nenhum campo novo foi</w:t>
      </w:r>
    </w:p>
    <w:p>
      <w:r>
        <w:t xml:space="preserve">   inventado no </w:t>
      </w:r>
      <w:r>
        <w:rPr>
          <w:rFonts w:ascii="Courier New" w:hAnsi="Courier New"/>
          <w:sz w:val="18"/>
        </w:rPr>
        <w:t>Plano</w:t>
      </w:r>
      <w:r>
        <w:t>.</w:t>
      </w:r>
    </w:p>
    <w:p>
      <w:pPr>
        <w:pStyle w:val="ListNumber"/>
      </w:pPr>
      <w:r>
        <w:rPr>
          <w:b/>
        </w:rPr>
        <w:t>Inadimplência parametrizada por plano (REG-017).</w:t>
      </w:r>
      <w:r>
        <w:t xml:space="preserve"> </w:t>
      </w:r>
      <w:r>
        <w:rPr>
          <w:rFonts w:ascii="Courier New" w:hAnsi="Courier New"/>
          <w:sz w:val="18"/>
        </w:rPr>
        <w:t>BloqueioInadimplenciaMiddleware</w:t>
      </w:r>
      <w:r>
        <w:t xml:space="preserve"> lê</w:t>
      </w:r>
    </w:p>
    <w:p>
      <w:r>
        <w:t xml:space="preserve">   </w:t>
      </w:r>
      <w:r>
        <w:rPr>
          <w:rFonts w:ascii="Courier New" w:hAnsi="Courier New"/>
          <w:sz w:val="18"/>
        </w:rPr>
        <w:t>Plano.DiasToleranciaInadimplencia</w:t>
      </w:r>
      <w:r>
        <w:t xml:space="preserve"> do plano do tenant (</w:t>
      </w:r>
      <w:r>
        <w:rPr>
          <w:rFonts w:ascii="Courier New" w:hAnsi="Courier New"/>
          <w:sz w:val="18"/>
        </w:rPr>
        <w:t>:57-68</w:t>
      </w:r>
      <w:r>
        <w:t xml:space="preserve">), </w:t>
      </w:r>
      <w:r>
        <w:rPr>
          <w:b/>
        </w:rPr>
        <w:t>fallback 15</w:t>
      </w:r>
      <w:r>
        <w:t xml:space="preserve"> se nulo/</w:t>
      </w:r>
      <w:r>
        <w:rPr>
          <w:rFonts w:ascii="Courier New" w:hAnsi="Courier New"/>
          <w:sz w:val="18"/>
        </w:rPr>
        <w:t>&lt;= 0</w:t>
      </w:r>
      <w:r>
        <w:t>/plano não</w:t>
      </w:r>
    </w:p>
    <w:p>
      <w:r>
        <w:t xml:space="preserve">   resolvido (</w:t>
      </w:r>
      <w:r>
        <w:rPr>
          <w:rFonts w:ascii="Courier New" w:hAnsi="Courier New"/>
          <w:sz w:val="18"/>
        </w:rPr>
        <w:t>:56</w:t>
      </w:r>
      <w:r>
        <w:t xml:space="preserve">). </w:t>
      </w:r>
      <w:r>
        <w:rPr>
          <w:rFonts w:ascii="Courier New" w:hAnsi="Courier New"/>
          <w:sz w:val="18"/>
        </w:rPr>
        <w:t>dataLimite = UtcNow.AddDays(-diasTolerancia)</w:t>
      </w:r>
      <w:r>
        <w:t xml:space="preserve"> (</w:t>
      </w:r>
      <w:r>
        <w:rPr>
          <w:rFonts w:ascii="Courier New" w:hAnsi="Courier New"/>
          <w:sz w:val="18"/>
        </w:rPr>
        <w:t>:70</w:t>
      </w:r>
      <w:r>
        <w:t>); qualquer fatura não-</w:t>
      </w:r>
      <w:r>
        <w:rPr>
          <w:rFonts w:ascii="Courier New" w:hAnsi="Courier New"/>
          <w:sz w:val="18"/>
        </w:rPr>
        <w:t>Paga</w:t>
      </w:r>
      <w:r>
        <w:t>/não-</w:t>
      </w:r>
      <w:r>
        <w:rPr>
          <w:rFonts w:ascii="Courier New" w:hAnsi="Courier New"/>
          <w:sz w:val="18"/>
        </w:rPr>
        <w:t>Cancelada</w:t>
      </w:r>
    </w:p>
    <w:p>
      <w:r>
        <w:t xml:space="preserve">   vencida antes disso ⇒ </w:t>
      </w:r>
      <w:r>
        <w:rPr>
          <w:b/>
        </w:rPr>
        <w:t>HTTP 402</w:t>
      </w:r>
      <w:r>
        <w:t xml:space="preserve"> </w:t>
      </w:r>
      <w:r>
        <w:rPr>
          <w:rFonts w:ascii="Courier New" w:hAnsi="Courier New"/>
          <w:sz w:val="18"/>
        </w:rPr>
        <w:t>Acesso operacional bloqueado por inadimplência</w:t>
      </w:r>
      <w:r>
        <w:t xml:space="preserve"> (</w:t>
      </w:r>
      <w:r>
        <w:rPr>
          <w:rFonts w:ascii="Courier New" w:hAnsi="Courier New"/>
          <w:sz w:val="18"/>
        </w:rPr>
        <w:t>:72-85</w:t>
      </w:r>
      <w:r>
        <w:t>). Rotas</w:t>
      </w:r>
    </w:p>
    <w:p>
      <w:r>
        <w:t xml:space="preserve">   </w:t>
      </w:r>
      <w:r>
        <w:rPr>
          <w:rFonts w:ascii="Courier New" w:hAnsi="Courier New"/>
          <w:sz w:val="18"/>
        </w:rPr>
        <w:t>/public</w:t>
      </w:r>
      <w:r>
        <w:t xml:space="preserve">, faturas/assinaturas, preferências, </w:t>
      </w:r>
      <w:r>
        <w:rPr>
          <w:rFonts w:ascii="Courier New" w:hAnsi="Courier New"/>
          <w:sz w:val="18"/>
        </w:rPr>
        <w:t>/auth</w:t>
      </w:r>
      <w:r>
        <w:t xml:space="preserve">, </w:t>
      </w:r>
      <w:r>
        <w:rPr>
          <w:rFonts w:ascii="Courier New" w:hAnsi="Courier New"/>
          <w:sz w:val="18"/>
        </w:rPr>
        <w:t>/login</w:t>
      </w:r>
      <w:r>
        <w:t xml:space="preserve"> ficam liberadas para regularização (</w:t>
      </w:r>
      <w:r>
        <w:rPr>
          <w:rFonts w:ascii="Courier New" w:hAnsi="Courier New"/>
          <w:sz w:val="18"/>
        </w:rPr>
        <w:t>:27-34</w:t>
      </w:r>
      <w:r>
        <w:t>).</w:t>
      </w:r>
    </w:p>
    <w:p>
      <w:pPr>
        <w:pStyle w:val="ListNumber"/>
      </w:pPr>
      <w:r>
        <w:rPr>
          <w:b/>
        </w:rPr>
        <w:t>Idempotência de webhook (REG-019).</w:t>
      </w:r>
      <w:r>
        <w:t xml:space="preserve"> </w:t>
      </w:r>
      <w:r>
        <w:rPr>
          <w:rFonts w:ascii="Courier New" w:hAnsi="Courier New"/>
          <w:sz w:val="18"/>
        </w:rPr>
        <w:t>ProcessarWebhookPagamentoCommandHandler</w:t>
      </w:r>
      <w:r>
        <w:t xml:space="preserve"> (rota canônica</w:t>
      </w:r>
    </w:p>
    <w:p>
      <w:r>
        <w:t xml:space="preserve">   </w:t>
      </w:r>
      <w:r>
        <w:rPr>
          <w:rFonts w:ascii="Courier New" w:hAnsi="Courier New"/>
          <w:sz w:val="18"/>
        </w:rPr>
        <w:t>POST /api/v1/plataforma/clientes/webhooks/mercadopago</w:t>
      </w:r>
      <w:r>
        <w:t>) verifica assinatura HMAC (fail-closed sem segredo, já</w:t>
      </w:r>
    </w:p>
    <w:p>
      <w:r>
        <w:t xml:space="preserve">   existia) e faz dedupe via </w:t>
      </w:r>
      <w:r>
        <w:rPr>
          <w:rFonts w:ascii="Courier New" w:hAnsi="Courier New"/>
          <w:sz w:val="18"/>
        </w:rPr>
        <w:t>WebhookEventoProcessado</w:t>
      </w:r>
      <w:r>
        <w:t xml:space="preserve"> com índice único </w:t>
      </w:r>
      <w:r>
        <w:rPr>
          <w:rFonts w:ascii="Courier New" w:hAnsi="Courier New"/>
          <w:sz w:val="18"/>
        </w:rPr>
        <w:t>(provedor, evento_id)</w:t>
      </w:r>
      <w:r>
        <w:t xml:space="preserve"> — reentrega é ignorada</w:t>
      </w:r>
    </w:p>
    <w:p>
      <w:r>
        <w:t xml:space="preserve">   retornando </w:t>
      </w:r>
      <w:r>
        <w:rPr>
          <w:rFonts w:ascii="Courier New" w:hAnsi="Courier New"/>
          <w:sz w:val="18"/>
        </w:rPr>
        <w:t>Ok</w:t>
      </w:r>
      <w:r>
        <w:t xml:space="preserve"> (ver </w:t>
      </w:r>
      <w:r>
        <w:rPr>
          <w:rFonts w:ascii="Courier New" w:hAnsi="Courier New"/>
          <w:sz w:val="18"/>
        </w:rPr>
        <w:t>ProcessarWebhookPagamentoCommandHandler.cs:20-33</w:t>
      </w:r>
      <w:r>
        <w:t>).</w:t>
      </w:r>
    </w:p>
    <w:p>
      <w:r>
        <w:rPr>
          <w:b/>
        </w:rPr>
        <w:t>Ordem de execução (Program.cs:698-700):</w:t>
      </w:r>
      <w:r>
        <w:t xml:space="preserve"> </w:t>
      </w:r>
      <w:r>
        <w:rPr>
          <w:rFonts w:ascii="Courier New" w:hAnsi="Courier New"/>
          <w:sz w:val="18"/>
        </w:rPr>
        <w:t>InquilinoSaaSMiddleware</w:t>
      </w:r>
      <w:r>
        <w:t xml:space="preserve"> (StatusSaaS) → </w:t>
      </w:r>
      <w:r>
        <w:rPr>
          <w:rFonts w:ascii="Courier New" w:hAnsi="Courier New"/>
          <w:sz w:val="18"/>
        </w:rPr>
        <w:t>BloqueioInadimplenciaMiddleware</w:t>
      </w:r>
    </w:p>
    <w:p>
      <w:r>
        <w:t xml:space="preserve">(402) → </w:t>
      </w:r>
      <w:r>
        <w:rPr>
          <w:rFonts w:ascii="Courier New" w:hAnsi="Courier New"/>
          <w:sz w:val="18"/>
        </w:rPr>
        <w:t>ModuloTenantMiddleware</w:t>
      </w:r>
      <w:r>
        <w:t xml:space="preserve"> (403 entitlement). Todos rodam depois do </w:t>
      </w:r>
      <w:r>
        <w:rPr>
          <w:rFonts w:ascii="Courier New" w:hAnsi="Courier New"/>
          <w:sz w:val="18"/>
        </w:rPr>
        <w:t>UseAuthentication</w:t>
      </w:r>
      <w:r>
        <w:t>.</w:t>
      </w:r>
    </w:p>
    <w:p>
      <w:pPr>
        <w:pStyle w:val="Heading2"/>
      </w:pPr>
      <w:r>
        <w:t>5. Relações com outros módulos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Módulo vizinho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Relação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ASSINATURA_E_PLANOS (1.01)</w:t>
            </w:r>
          </w:p>
        </w:tc>
        <w:tc>
          <w:tcPr>
            <w:tcW w:type="dxa" w:w="4320"/>
          </w:tcPr>
          <w:p>
            <w:r>
              <w:t xml:space="preserve">Dono de </w:t>
            </w:r>
            <w:r>
              <w:rPr>
                <w:rFonts w:ascii="Courier New" w:hAnsi="Courier New"/>
                <w:sz w:val="18"/>
              </w:rPr>
              <w:t>Plano</w:t>
            </w:r>
            <w:r>
              <w:t>/</w:t>
            </w:r>
            <w:r>
              <w:rPr>
                <w:rFonts w:ascii="Courier New" w:hAnsi="Courier New"/>
                <w:sz w:val="18"/>
              </w:rPr>
              <w:t>Cliente</w:t>
            </w:r>
            <w:r>
              <w:t>/</w:t>
            </w:r>
            <w:r>
              <w:rPr>
                <w:rFonts w:ascii="Courier New" w:hAnsi="Courier New"/>
                <w:sz w:val="18"/>
              </w:rPr>
              <w:t>Fatura</w:t>
            </w:r>
            <w:r>
              <w:t xml:space="preserve">; este submódulo consome os limites, as flags e as cotas snapshot definidas lá. FK </w:t>
            </w:r>
            <w:r>
              <w:rPr>
                <w:rFonts w:ascii="Courier New" w:hAnsi="Courier New"/>
                <w:sz w:val="18"/>
              </w:rPr>
              <w:t>Cliente.PlanoId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IDENTIDADE_E_CONTEXTO_TENANT (1.04)</w:t>
            </w:r>
          </w:p>
        </w:tc>
        <w:tc>
          <w:tcPr>
            <w:tcW w:type="dxa" w:w="4320"/>
          </w:tcPr>
          <w:p>
            <w:r>
              <w:t xml:space="preserve">Fornece o </w:t>
            </w:r>
            <w:r>
              <w:rPr>
                <w:rFonts w:ascii="Courier New" w:hAnsi="Courier New"/>
                <w:sz w:val="18"/>
              </w:rPr>
              <w:t>TenantId</w:t>
            </w:r>
            <w:r>
              <w:t xml:space="preserve"> do request (via </w:t>
            </w:r>
            <w:r>
              <w:rPr>
                <w:rFonts w:ascii="Courier New" w:hAnsi="Courier New"/>
                <w:sz w:val="18"/>
              </w:rPr>
              <w:t>ITenantProvider</w:t>
            </w:r>
            <w:r>
              <w:t>/</w:t>
            </w:r>
            <w:r>
              <w:rPr>
                <w:rFonts w:ascii="Courier New" w:hAnsi="Courier New"/>
                <w:sz w:val="18"/>
              </w:rPr>
              <w:t>context.Items["TenantId"]</w:t>
            </w:r>
            <w:r>
              <w:t>) que todo gate usa para resolver o cliente/plano.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STATUS_SAAS / gating (1.05)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InquilinoSaaSMiddleware</w:t>
            </w:r>
            <w:r>
              <w:t xml:space="preserve"> roda antes e barra por </w:t>
            </w:r>
            <w:r>
              <w:rPr>
                <w:rFonts w:ascii="Courier New" w:hAnsi="Courier New"/>
                <w:sz w:val="18"/>
              </w:rPr>
              <w:t>StatusSaaS</w:t>
            </w:r>
            <w:r>
              <w:t>; o entitlement de módulo é uma camada adicional e ortogonal.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USUARIOS_E_PAPEIS (1.11)</w:t>
            </w:r>
          </w:p>
        </w:tc>
        <w:tc>
          <w:tcPr>
            <w:tcW w:type="dxa" w:w="4320"/>
          </w:tcPr>
          <w:p>
            <w:r>
              <w:t>Enforcement de cota de usuários (</w:t>
            </w:r>
            <w:r>
              <w:rPr>
                <w:rFonts w:ascii="Courier New" w:hAnsi="Courier New"/>
                <w:sz w:val="18"/>
              </w:rPr>
              <w:t>UsuarioHandlers</w:t>
            </w:r>
            <w:r>
              <w:t>) e de papéis RBAC (</w:t>
            </w:r>
            <w:r>
              <w:rPr>
                <w:rFonts w:ascii="Courier New" w:hAnsi="Courier New"/>
                <w:sz w:val="18"/>
              </w:rPr>
              <w:t>RbacHandlers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CotaPermissoes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ONBOARDING_E_EMPRESA (1.07)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CriarEmpresaCommandHandler</w:t>
            </w:r>
            <w:r>
              <w:t xml:space="preserve"> aplica cota de empresas; o plano trial provisionado no onboarding nasce com flags de módulo ligadas e limites </w:t>
            </w:r>
            <w:r>
              <w:rPr>
                <w:rFonts w:ascii="Courier New" w:hAnsi="Courier New"/>
                <w:sz w:val="18"/>
              </w:rPr>
              <w:t>0</w:t>
            </w:r>
            <w:r>
              <w:t xml:space="preserve"> (ilimitado).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GESTÃO DE CLIENTES/PESSOAS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CriarPessoaCommandHandler</w:t>
            </w:r>
            <w:r>
              <w:t xml:space="preserve"> aplica cota de clientes quando </w:t>
            </w:r>
            <w:r>
              <w:rPr>
                <w:rFonts w:ascii="Courier New" w:hAnsi="Courier New"/>
                <w:sz w:val="18"/>
              </w:rPr>
              <w:t>EhCliente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PEDIDOS_E_COBRANCA_SAAS (1.08/1.09)</w:t>
            </w:r>
          </w:p>
        </w:tc>
        <w:tc>
          <w:tcPr>
            <w:tcW w:type="dxa" w:w="4320"/>
          </w:tcPr>
          <w:p>
            <w:r>
              <w:t>Fatura vencida alimenta o gate de inadimplência; webhook de pagamento usa a idempotência (</w:t>
            </w:r>
            <w:r>
              <w:rPr>
                <w:rFonts w:ascii="Courier New" w:hAnsi="Courier New"/>
                <w:sz w:val="18"/>
              </w:rPr>
              <w:t>WebhookEventoProcessado</w:t>
            </w:r>
            <w:r>
              <w:t>).</w:t>
            </w:r>
          </w:p>
        </w:tc>
      </w:tr>
    </w:tbl>
    <w:p/>
    <w:p>
      <w:pPr>
        <w:pStyle w:val="Heading2"/>
      </w:pPr>
      <w:r>
        <w:t>6. O que NÃO está pronto (ver MC + tracker)</w:t>
      </w:r>
    </w:p>
    <w:p>
      <w:pPr>
        <w:pStyle w:val="ListBullet"/>
      </w:pPr>
      <w:r>
        <w:rPr>
          <w:b/>
        </w:rPr>
        <w:t>7 dos 9 limites da EF não existem</w:t>
      </w:r>
      <w:r>
        <w:t xml:space="preserve"> — produto, fornecedor, compra, local, fatura/documento fiscal, armazenamento</w:t>
      </w:r>
    </w:p>
    <w:p>
      <w:r>
        <w:t xml:space="preserve">  não têm campo nem contagem. Decisão registrada na MC §0.2: </w:t>
      </w:r>
      <w:r>
        <w:rPr>
          <w:b/>
        </w:rPr>
        <w:t>cada limite nasce com o módulo dono</w:t>
      </w:r>
      <w:r>
        <w:t>, reusando</w:t>
      </w:r>
    </w:p>
    <w:p>
      <w:r>
        <w:t xml:space="preserve">  </w:t>
      </w:r>
      <w:r>
        <w:rPr>
          <w:rFonts w:ascii="Courier New" w:hAnsi="Courier New"/>
          <w:sz w:val="18"/>
        </w:rPr>
        <w:t>IValidadorLimitesSaaS</w:t>
      </w:r>
      <w:r>
        <w:t xml:space="preserve">; não como contador órfão no Aplicativo. </w:t>
      </w:r>
      <w:r>
        <w:rPr>
          <w:b/>
        </w:rPr>
        <w:t>Requer o módulo dono existir</w:t>
      </w:r>
      <w:r>
        <w:t xml:space="preserve"> (Estoque, Compras,</w:t>
      </w:r>
    </w:p>
    <w:p>
      <w:r>
        <w:t xml:space="preserve">  Fiscal, Plataforma/arquivos).</w:t>
      </w:r>
    </w:p>
    <w:p>
      <w:pPr>
        <w:pStyle w:val="ListBullet"/>
      </w:pPr>
      <w:r>
        <w:rPr>
          <w:b/>
        </w:rPr>
        <w:t>Flag `ModuloCrm` sem consumidor</w:t>
      </w:r>
      <w:r>
        <w:t xml:space="preserve"> — não há rota </w:t>
      </w:r>
      <w:r>
        <w:rPr>
          <w:rFonts w:ascii="Courier New" w:hAnsi="Courier New"/>
          <w:sz w:val="18"/>
        </w:rPr>
        <w:t>/api/v1/crm</w:t>
      </w:r>
      <w:r>
        <w:t xml:space="preserve"> hoje (MC §0.2: "ligar quando houver controller CRM").</w:t>
      </w:r>
    </w:p>
    <w:p>
      <w:pPr>
        <w:pStyle w:val="ListBullet"/>
      </w:pPr>
      <w:r>
        <w:rPr>
          <w:b/>
        </w:rPr>
        <w:t>Semeadura de flags nos planos reais (GO-LIVE)</w:t>
      </w:r>
      <w:r>
        <w:t xml:space="preserve"> — planos nascem com flags de módulo </w:t>
      </w:r>
      <w:r>
        <w:rPr>
          <w:rFonts w:ascii="Courier New" w:hAnsi="Courier New"/>
          <w:sz w:val="18"/>
        </w:rPr>
        <w:t>false</w:t>
      </w:r>
      <w:r>
        <w:t>; **antes de ligar o</w:t>
      </w:r>
    </w:p>
    <w:p>
      <w:r>
        <w:t xml:space="preserve">  gate em produção é obrigatório semear/atualizar os planos reais** com as flags corretas, senão tenants legítimos</w:t>
      </w:r>
    </w:p>
    <w:p>
      <w:r>
        <w:t xml:space="preserve">  seriam bloqueados. É dado/seed, não código (MC §0.3, DECISÕES §Decisão 4). </w:t>
      </w:r>
      <w:r>
        <w:rPr>
          <w:b/>
        </w:rPr>
        <w:t>Requer ambiente/dados.</w:t>
      </w:r>
    </w:p>
    <w:p>
      <w:pPr>
        <w:pStyle w:val="ListBullet"/>
      </w:pPr>
      <w:r>
        <w:rPr>
          <w:b/>
        </w:rPr>
        <w:t>Mensagens não distintas por causa (REG-035)</w:t>
      </w:r>
      <w:r>
        <w:t xml:space="preserve"> — plano inativo/sem cliente e limite excedido compartilham o mesmo</w:t>
      </w:r>
    </w:p>
    <w:p>
      <w:r>
        <w:t xml:space="preserve">  canal de mensagem (MC "Mensagens de bloqueio", P0).</w:t>
      </w:r>
    </w:p>
    <w:p>
      <w:pPr>
        <w:pStyle w:val="ListBullet"/>
      </w:pPr>
      <w:r>
        <w:rPr>
          <w:b/>
        </w:rPr>
        <w:t>Downgrade/projeção (REG-015/016)</w:t>
      </w:r>
      <w:r>
        <w:t xml:space="preserve"> — </w:t>
      </w:r>
      <w:r>
        <w:rPr>
          <w:rFonts w:ascii="Courier New" w:hAnsi="Courier New"/>
          <w:sz w:val="18"/>
        </w:rPr>
        <w:t>Cliente.AlterarPlano</w:t>
      </w:r>
      <w:r>
        <w:t>/</w:t>
      </w:r>
      <w:r>
        <w:rPr>
          <w:rFonts w:ascii="Courier New" w:hAnsi="Courier New"/>
          <w:sz w:val="18"/>
        </w:rPr>
        <w:t>AtualizarCota</w:t>
      </w:r>
      <w:r>
        <w:t xml:space="preserve"> não reprojetam uso vs. novo limite</w:t>
      </w:r>
    </w:p>
    <w:p>
      <w:r>
        <w:t xml:space="preserve">  nem desativam excedentes (MC, decisão humana pendente).</w:t>
      </w:r>
    </w:p>
    <w:p>
      <w:pPr>
        <w:pStyle w:val="ListBullet"/>
      </w:pPr>
      <w:r>
        <w:rPr>
          <w:b/>
        </w:rPr>
        <w:t>Testes automatizados</w:t>
      </w:r>
      <w:r>
        <w:t xml:space="preserve"> — </w:t>
      </w:r>
      <w:r>
        <w:rPr>
          <w:rFonts w:ascii="Courier New" w:hAnsi="Courier New"/>
          <w:sz w:val="18"/>
        </w:rPr>
        <w:t>dotnet test</w:t>
      </w:r>
      <w:r>
        <w:t xml:space="preserve"> não executado nesta fatia (Postgres); suíte de limites é pendência P0 (MC).</w:t>
      </w:r>
    </w:p>
    <w:p>
      <w:pPr>
        <w:pStyle w:val="Heading2"/>
      </w:pPr>
      <w:r>
        <w:t>7. Rastreabilidade</w:t>
      </w:r>
    </w:p>
    <w:p>
      <w:r>
        <w:t>EF (</w:t>
      </w:r>
      <w:r>
        <w:rPr>
          <w:rFonts w:ascii="Courier New" w:hAnsi="Courier New"/>
          <w:sz w:val="18"/>
        </w:rPr>
        <w:t>EF_0_APLICATIVO_LIMITES_DE_PLANO_V1.md</w:t>
      </w:r>
      <w:r>
        <w:t>, REG-001..035) · MC (</w:t>
      </w:r>
      <w:r>
        <w:rPr>
          <w:rFonts w:ascii="Courier New" w:hAnsi="Courier New"/>
          <w:sz w:val="18"/>
        </w:rPr>
        <w:t>MC_..._V1.md</w:t>
      </w:r>
      <w:r>
        <w:t xml:space="preserve"> §0 adendo 1.06 + matriz) ·</w:t>
      </w:r>
    </w:p>
    <w:p>
      <w:r>
        <w:t>VERIFICACAO_IMPLEMENTACAO_V1 (matriz campo×código, placar 2/9 limites reais) · DECISOES_IMPLANTACAO_V1 (6 decisões:</w:t>
      </w:r>
    </w:p>
    <w:p>
      <w:r>
        <w:t>0=ilimitado, limite de cliente, CotaPermissoes, entitlement real, inadimplência por plano, idempotência webhook) ·</w:t>
      </w:r>
    </w:p>
    <w:p>
      <w:r>
        <w:t xml:space="preserve">migration </w:t>
      </w:r>
      <w:r>
        <w:rPr>
          <w:rFonts w:ascii="Courier New" w:hAnsi="Courier New"/>
          <w:sz w:val="18"/>
        </w:rPr>
        <w:t>20260731195700_Implanta_1_06_LimitesDePlano</w:t>
      </w:r>
      <w:r>
        <w:t xml:space="preserve"> (</w:t>
      </w:r>
      <w:r>
        <w:rPr>
          <w:rFonts w:ascii="Courier New" w:hAnsi="Courier New"/>
          <w:sz w:val="18"/>
        </w:rPr>
        <w:t>planos.limite_clientes</w:t>
      </w:r>
      <w:r>
        <w:t xml:space="preserve">, </w:t>
      </w:r>
      <w:r>
        <w:rPr>
          <w:rFonts w:ascii="Courier New" w:hAnsi="Courier New"/>
          <w:sz w:val="18"/>
        </w:rPr>
        <w:t>planos.dias_tolerancia_inadimplencia</w:t>
      </w:r>
      <w:r>
        <w:t>,</w:t>
      </w:r>
    </w:p>
    <w:p>
      <w:r>
        <w:rPr>
          <w:rFonts w:ascii="Courier New" w:hAnsi="Courier New"/>
          <w:sz w:val="18"/>
        </w:rPr>
        <w:t>clientes.cota_clientes</w:t>
      </w:r>
      <w:r>
        <w:t xml:space="preserve">, tabela </w:t>
      </w:r>
      <w:r>
        <w:rPr>
          <w:rFonts w:ascii="Courier New" w:hAnsi="Courier New"/>
          <w:sz w:val="18"/>
        </w:rPr>
        <w:t>webhook_eventos_processados</w:t>
      </w:r>
      <w:r>
        <w:t xml:space="preserve"> + índice único).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