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1"/>
        <w:gridCol w:w="1343"/>
      </w:tblGrid>
      <w:tr w:rsidR="0084207B" w14:paraId="6A1BDB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913DEF" w14:textId="77777777" w:rsidR="0084207B" w:rsidRDefault="00000000">
            <w:r>
              <w:t>Borrower:</w:t>
            </w:r>
          </w:p>
        </w:tc>
        <w:tc>
          <w:tcPr>
            <w:tcW w:w="0" w:type="auto"/>
          </w:tcPr>
          <w:p w14:paraId="3301E0DA" w14:textId="77777777" w:rsidR="0084207B" w:rsidRDefault="00000000">
            <w:r>
              <w:t>Cedar Foods</w:t>
            </w:r>
          </w:p>
        </w:tc>
      </w:tr>
      <w:tr w:rsidR="0084207B" w14:paraId="49CF93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C70C1B" w14:textId="77777777" w:rsidR="0084207B" w:rsidRDefault="00000000">
            <w:r>
              <w:t>Amount:</w:t>
            </w:r>
          </w:p>
        </w:tc>
        <w:tc>
          <w:tcPr>
            <w:tcW w:w="0" w:type="auto"/>
          </w:tcPr>
          <w:p w14:paraId="7428519B" w14:textId="77777777" w:rsidR="0084207B" w:rsidRDefault="00000000">
            <w:r>
              <w:t>EUR 12m</w:t>
            </w:r>
          </w:p>
        </w:tc>
      </w:tr>
    </w:tbl>
    <w:p w14:paraId="3B57C0FF" w14:textId="77777777" w:rsidR="0084207B" w:rsidRDefault="00000000">
      <w:pPr>
        <w:pStyle w:val="Heading1"/>
      </w:pPr>
      <w:r>
        <w:t>1. Summary</w:t>
      </w:r>
    </w:p>
    <w:p w14:paraId="3093CEE7" w14:textId="77777777" w:rsidR="0084207B" w:rsidRDefault="00000000">
      <w:r>
        <w:t xml:space="preserve">Cedar Foods seeks </w:t>
      </w:r>
      <w:r>
        <w:rPr>
          <w:b/>
        </w:rPr>
        <w:t>EUR 12m</w:t>
      </w:r>
      <w:r>
        <w:t xml:space="preserve"> of working capital.</w:t>
      </w:r>
    </w:p>
    <w:p w14:paraId="31754CB6" w14:textId="77777777" w:rsidR="0084207B" w:rsidRDefault="00000000">
      <w:pPr>
        <w:pStyle w:val="Heading1"/>
      </w:pPr>
      <w:r>
        <w:t>2. Financial analysis</w:t>
      </w:r>
    </w:p>
    <w:p w14:paraId="7C0C9EF5" w14:textId="77777777" w:rsidR="0084207B" w:rsidRDefault="00000000">
      <w:r>
        <w:t>Revenue rose 20% on a restated basis, while EBITDA margin fell five percentage points.</w:t>
      </w:r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  <w:tblDescription w:val="fp-assistant"/>
      </w:tblPr>
      <w:tblGrid>
        <w:gridCol w:w="1520"/>
        <w:gridCol w:w="769"/>
        <w:gridCol w:w="769"/>
      </w:tblGrid>
      <w:tr w:rsidR="0084207B" w14:paraId="609A2A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B3B09BA" w14:textId="77777777" w:rsidR="0084207B" w:rsidRDefault="00000000">
            <w:r>
              <w:t>EUR m</w:t>
            </w:r>
          </w:p>
        </w:tc>
        <w:tc>
          <w:tcPr>
            <w:tcW w:w="0" w:type="auto"/>
          </w:tcPr>
          <w:p w14:paraId="72F0ED9F" w14:textId="77777777" w:rsidR="0084207B" w:rsidRDefault="00000000">
            <w:r>
              <w:t>FY2024</w:t>
            </w:r>
          </w:p>
        </w:tc>
        <w:tc>
          <w:tcPr>
            <w:tcW w:w="0" w:type="auto"/>
          </w:tcPr>
          <w:p w14:paraId="1FD8F0CA" w14:textId="77777777" w:rsidR="0084207B" w:rsidRDefault="00000000">
            <w:r>
              <w:t>FY2025</w:t>
            </w:r>
          </w:p>
        </w:tc>
      </w:tr>
      <w:tr w:rsidR="0084207B" w14:paraId="5A760D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5690E3C" w14:textId="77777777" w:rsidR="0084207B" w:rsidRDefault="00000000">
            <w:r>
              <w:t>Revenue</w:t>
            </w:r>
          </w:p>
        </w:tc>
        <w:tc>
          <w:tcPr>
            <w:tcW w:w="0" w:type="auto"/>
          </w:tcPr>
          <w:p w14:paraId="7A53CEC3" w14:textId="77777777" w:rsidR="0084207B" w:rsidRDefault="00000000">
            <w:r>
              <w:t>100.0</w:t>
            </w:r>
          </w:p>
        </w:tc>
        <w:tc>
          <w:tcPr>
            <w:tcW w:w="0" w:type="auto"/>
          </w:tcPr>
          <w:p w14:paraId="7C300D2A" w14:textId="77777777" w:rsidR="0084207B" w:rsidRDefault="00000000">
            <w:r>
              <w:t>120.0</w:t>
            </w:r>
          </w:p>
        </w:tc>
      </w:tr>
      <w:tr w:rsidR="0084207B" w14:paraId="16AFBD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E002451" w14:textId="77777777" w:rsidR="0084207B" w:rsidRDefault="00000000">
            <w:r>
              <w:t>EBITDA margin</w:t>
            </w:r>
          </w:p>
        </w:tc>
        <w:tc>
          <w:tcPr>
            <w:tcW w:w="0" w:type="auto"/>
          </w:tcPr>
          <w:p w14:paraId="667E299D" w14:textId="77777777" w:rsidR="0084207B" w:rsidRDefault="00000000">
            <w:r>
              <w:t>20.0%</w:t>
            </w:r>
          </w:p>
        </w:tc>
        <w:tc>
          <w:tcPr>
            <w:tcW w:w="0" w:type="auto"/>
          </w:tcPr>
          <w:p w14:paraId="110F6559" w14:textId="77777777" w:rsidR="0084207B" w:rsidRDefault="00000000">
            <w:r>
              <w:t>15.0%</w:t>
            </w:r>
          </w:p>
        </w:tc>
      </w:tr>
    </w:tbl>
    <w:p w14:paraId="6F0E83D3" w14:textId="77777777" w:rsidR="0084207B" w:rsidRDefault="0084207B"/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6"/>
        <w:gridCol w:w="1911"/>
      </w:tblGrid>
      <w:tr w:rsidR="0084207B" w14:paraId="05D5EA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E42E24" w14:textId="77777777" w:rsidR="0084207B" w:rsidRDefault="00000000">
            <w:r>
              <w:t>EUR m</w:t>
            </w:r>
          </w:p>
        </w:tc>
        <w:tc>
          <w:tcPr>
            <w:tcW w:w="0" w:type="auto"/>
          </w:tcPr>
          <w:p w14:paraId="3ECAD18D" w14:textId="77777777" w:rsidR="0084207B" w:rsidRDefault="00000000">
            <w:r>
              <w:t>FY2025 (template)</w:t>
            </w:r>
          </w:p>
        </w:tc>
      </w:tr>
    </w:tbl>
    <w:p w14:paraId="7A821BFD" w14:textId="77777777" w:rsidR="0084207B" w:rsidRDefault="00000000">
      <w:pPr>
        <w:pStyle w:val="Heading2"/>
      </w:pPr>
      <w:r>
        <w:t>2.1 Market risk</w:t>
      </w:r>
    </w:p>
    <w:p w14:paraId="6C78BC7B" w14:textId="77777777" w:rsidR="0084207B" w:rsidRDefault="00000000">
      <w:r>
        <w:t>Milk prices rose sharply in 2025.</w:t>
      </w:r>
    </w:p>
    <w:p w14:paraId="6EE3B963" w14:textId="77777777" w:rsidR="0084207B" w:rsidRDefault="00000000">
      <w:pPr>
        <w:pStyle w:val="ListBullet"/>
      </w:pPr>
      <w:r>
        <w:t>Two suppliers account for 60% of milk intake.</w:t>
      </w:r>
    </w:p>
    <w:p w14:paraId="314BEACD" w14:textId="77777777" w:rsidR="0084207B" w:rsidRDefault="00000000">
      <w:pPr>
        <w:pStyle w:val="Heading1"/>
      </w:pPr>
      <w:r>
        <w:t>3. Recommendation</w:t>
      </w:r>
    </w:p>
    <w:p w14:paraId="4BB4BC13" w14:textId="0B03FC90" w:rsidR="00A70CE5" w:rsidRDefault="00000000">
      <w:r>
        <w:t>Approve, subject to conditions.</w:t>
      </w:r>
    </w:p>
    <w:p w14:paraId="6AA0124D" w14:textId="5E76B4D3" w:rsidR="00A70CE5" w:rsidRDefault="00A70CE5">
      <w:r>
        <w:t>Agreed</w:t>
      </w:r>
    </w:p>
    <w:sectPr w:rsidR="00A70CE5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207B"/>
    <w:rsid w:val="0084207B"/>
    <w:rsid w:val="00A70CE5"/>
    <w:rsid w:val="00D76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C04E4F"/>
  <w15:docId w15:val="{93E7CC4E-968D-8943-B7BC-B6F8F9029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</w:style>
  <w:style w:type="paragraph" w:styleId="Heading2">
    <w:name w:val="heading 2"/>
    <w:uiPriority w:val="9"/>
    <w:unhideWhenUsed/>
    <w:qFormat/>
    <w:pPr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</w:style>
  <w:style w:type="table" w:styleId="TableGrid">
    <w:name w:val="Table 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381</Characters>
  <Application>Microsoft Office Word</Application>
  <DocSecurity>0</DocSecurity>
  <Lines>27</Lines>
  <Paragraphs>28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Rik Recourt</cp:lastModifiedBy>
  <cp:revision>2</cp:revision>
  <dcterms:created xsi:type="dcterms:W3CDTF">2026-10-02T11:51:00Z</dcterms:created>
  <dcterms:modified xsi:type="dcterms:W3CDTF">2026-10-02T11:51:00Z</dcterms:modified>
</cp:coreProperties>
</file>