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7728" w14:textId="77777777" w:rsidR="000B620F" w:rsidRPr="00AE1725" w:rsidRDefault="000B620F" w:rsidP="00AE1725">
      <w:pPr>
        <w:spacing w:line="240" w:lineRule="auto"/>
        <w:jc w:val="center"/>
        <w:rPr>
          <w:rFonts w:asciiTheme="majorHAnsi" w:hAnsiTheme="majorHAnsi" w:cs="Calibri"/>
        </w:rPr>
      </w:pPr>
    </w:p>
    <w:p w14:paraId="62AB26C9" w14:textId="77777777" w:rsidR="000B620F" w:rsidRPr="00AE1725" w:rsidRDefault="000B620F" w:rsidP="00AE1725">
      <w:pPr>
        <w:spacing w:line="240" w:lineRule="auto"/>
        <w:jc w:val="center"/>
        <w:rPr>
          <w:rFonts w:asciiTheme="majorHAnsi" w:hAnsiTheme="majorHAnsi" w:cs="Calibri"/>
        </w:rPr>
      </w:pPr>
    </w:p>
    <w:p w14:paraId="0C782483" w14:textId="77777777" w:rsidR="000B620F" w:rsidRPr="00AE1725" w:rsidRDefault="000B620F" w:rsidP="00AE1725">
      <w:pPr>
        <w:spacing w:line="240" w:lineRule="auto"/>
        <w:jc w:val="center"/>
        <w:rPr>
          <w:rFonts w:asciiTheme="majorHAnsi" w:hAnsiTheme="majorHAnsi" w:cs="Calibri"/>
        </w:rPr>
      </w:pPr>
    </w:p>
    <w:p w14:paraId="1E87BDFE" w14:textId="77777777" w:rsidR="000B620F" w:rsidRPr="00AE1725" w:rsidRDefault="000B620F" w:rsidP="00AE1725">
      <w:pPr>
        <w:spacing w:line="240" w:lineRule="auto"/>
        <w:jc w:val="center"/>
        <w:rPr>
          <w:rFonts w:asciiTheme="majorHAnsi" w:hAnsiTheme="majorHAnsi" w:cs="Calibri"/>
        </w:rPr>
      </w:pPr>
    </w:p>
    <w:p w14:paraId="39D0BA98" w14:textId="77777777" w:rsidR="000B620F" w:rsidRPr="00AE1725" w:rsidRDefault="000B620F" w:rsidP="00AE1725">
      <w:pPr>
        <w:spacing w:line="240" w:lineRule="auto"/>
        <w:jc w:val="center"/>
        <w:rPr>
          <w:rFonts w:asciiTheme="majorHAnsi" w:hAnsiTheme="majorHAnsi" w:cs="Calibri"/>
        </w:rPr>
      </w:pPr>
    </w:p>
    <w:p w14:paraId="621FD0CA" w14:textId="77777777" w:rsidR="000B620F" w:rsidRPr="00AE1725" w:rsidRDefault="000B620F" w:rsidP="00AE1725">
      <w:pPr>
        <w:spacing w:line="240" w:lineRule="auto"/>
        <w:rPr>
          <w:rFonts w:asciiTheme="majorHAnsi" w:hAnsiTheme="majorHAnsi" w:cs="Calibri"/>
        </w:rPr>
      </w:pPr>
    </w:p>
    <w:p w14:paraId="1CD4B67A" w14:textId="77777777" w:rsidR="000B620F" w:rsidRPr="00843FB7" w:rsidRDefault="000B620F" w:rsidP="00AE1725">
      <w:pPr>
        <w:spacing w:line="240" w:lineRule="auto"/>
        <w:jc w:val="center"/>
        <w:rPr>
          <w:rFonts w:asciiTheme="majorHAnsi" w:hAnsiTheme="majorHAnsi" w:cs="Calibri"/>
          <w:sz w:val="50"/>
          <w:szCs w:val="50"/>
        </w:rPr>
      </w:pPr>
    </w:p>
    <w:p w14:paraId="19698EA2" w14:textId="7999D030" w:rsidR="00C11FCB" w:rsidRPr="00843FB7" w:rsidRDefault="000B620F" w:rsidP="00AE1725">
      <w:pPr>
        <w:spacing w:line="240" w:lineRule="auto"/>
        <w:jc w:val="center"/>
        <w:rPr>
          <w:rFonts w:asciiTheme="majorHAnsi" w:hAnsiTheme="majorHAnsi" w:cs="Calibri"/>
          <w:sz w:val="50"/>
          <w:szCs w:val="50"/>
        </w:rPr>
      </w:pPr>
      <w:r w:rsidRPr="00843FB7">
        <w:rPr>
          <w:rFonts w:asciiTheme="majorHAnsi" w:hAnsiTheme="majorHAnsi" w:cs="Calibri"/>
          <w:sz w:val="50"/>
          <w:szCs w:val="50"/>
        </w:rPr>
        <w:t>Cintas Corporation Firm Analysis</w:t>
      </w:r>
    </w:p>
    <w:p w14:paraId="189B9165" w14:textId="77777777" w:rsidR="000B620F" w:rsidRPr="00843FB7" w:rsidRDefault="000B620F" w:rsidP="00AE1725">
      <w:pPr>
        <w:spacing w:line="240" w:lineRule="auto"/>
        <w:jc w:val="center"/>
        <w:rPr>
          <w:rFonts w:asciiTheme="majorHAnsi" w:hAnsiTheme="majorHAnsi" w:cs="Calibri"/>
          <w:sz w:val="50"/>
          <w:szCs w:val="50"/>
        </w:rPr>
      </w:pPr>
    </w:p>
    <w:p w14:paraId="75AC462C" w14:textId="276935AC" w:rsidR="000B620F" w:rsidRPr="00843FB7" w:rsidRDefault="000B620F" w:rsidP="00AE1725">
      <w:pPr>
        <w:spacing w:line="240" w:lineRule="auto"/>
        <w:jc w:val="center"/>
        <w:rPr>
          <w:rFonts w:asciiTheme="majorHAnsi" w:hAnsiTheme="majorHAnsi" w:cs="Calibri"/>
          <w:sz w:val="50"/>
          <w:szCs w:val="50"/>
        </w:rPr>
      </w:pPr>
      <w:r w:rsidRPr="00843FB7">
        <w:rPr>
          <w:rFonts w:asciiTheme="majorHAnsi" w:hAnsiTheme="majorHAnsi" w:cs="Calibri"/>
          <w:sz w:val="50"/>
          <w:szCs w:val="50"/>
        </w:rPr>
        <w:t>Presented by: Ryan Reiser</w:t>
      </w:r>
    </w:p>
    <w:p w14:paraId="0981DA98" w14:textId="77777777" w:rsidR="000B620F" w:rsidRPr="00843FB7" w:rsidRDefault="000B620F" w:rsidP="00AE1725">
      <w:pPr>
        <w:spacing w:line="240" w:lineRule="auto"/>
        <w:jc w:val="center"/>
        <w:rPr>
          <w:rFonts w:asciiTheme="majorHAnsi" w:hAnsiTheme="majorHAnsi" w:cs="Calibri"/>
          <w:sz w:val="50"/>
          <w:szCs w:val="50"/>
        </w:rPr>
      </w:pPr>
    </w:p>
    <w:p w14:paraId="3A35509B" w14:textId="753FB0D9" w:rsidR="000B620F" w:rsidRPr="00843FB7" w:rsidRDefault="000B620F" w:rsidP="00AE1725">
      <w:pPr>
        <w:spacing w:line="240" w:lineRule="auto"/>
        <w:jc w:val="center"/>
        <w:rPr>
          <w:rFonts w:asciiTheme="majorHAnsi" w:hAnsiTheme="majorHAnsi" w:cs="Calibri"/>
          <w:sz w:val="50"/>
          <w:szCs w:val="50"/>
        </w:rPr>
      </w:pPr>
      <w:r w:rsidRPr="00843FB7">
        <w:rPr>
          <w:rFonts w:asciiTheme="majorHAnsi" w:hAnsiTheme="majorHAnsi" w:cs="Calibri"/>
          <w:sz w:val="50"/>
          <w:szCs w:val="50"/>
        </w:rPr>
        <w:t>EBGN345 – Corporate Finance</w:t>
      </w:r>
    </w:p>
    <w:p w14:paraId="5A45E5B9" w14:textId="50C91A16" w:rsidR="000B620F" w:rsidRPr="00843FB7" w:rsidRDefault="000B620F" w:rsidP="00AE1725">
      <w:pPr>
        <w:spacing w:line="240" w:lineRule="auto"/>
        <w:jc w:val="center"/>
        <w:rPr>
          <w:rFonts w:asciiTheme="majorHAnsi" w:hAnsiTheme="majorHAnsi" w:cs="Calibri"/>
          <w:sz w:val="50"/>
          <w:szCs w:val="50"/>
        </w:rPr>
      </w:pPr>
    </w:p>
    <w:p w14:paraId="2390E1AE" w14:textId="15A1AD2E" w:rsidR="000B620F" w:rsidRPr="00843FB7" w:rsidRDefault="000B620F" w:rsidP="00AE1725">
      <w:pPr>
        <w:spacing w:line="240" w:lineRule="auto"/>
        <w:jc w:val="center"/>
        <w:rPr>
          <w:rFonts w:asciiTheme="majorHAnsi" w:hAnsiTheme="majorHAnsi" w:cs="Calibri"/>
          <w:sz w:val="50"/>
          <w:szCs w:val="50"/>
        </w:rPr>
      </w:pPr>
      <w:r w:rsidRPr="00843FB7">
        <w:rPr>
          <w:rFonts w:asciiTheme="majorHAnsi" w:hAnsiTheme="majorHAnsi" w:cs="Calibri"/>
          <w:sz w:val="50"/>
          <w:szCs w:val="50"/>
        </w:rPr>
        <w:t>Instructed by Dr. Lafrancois</w:t>
      </w:r>
    </w:p>
    <w:p w14:paraId="2F1CD279" w14:textId="77777777" w:rsidR="000B620F" w:rsidRPr="00AE1725" w:rsidRDefault="000B620F" w:rsidP="00AE1725">
      <w:pPr>
        <w:spacing w:line="240" w:lineRule="auto"/>
        <w:jc w:val="center"/>
        <w:rPr>
          <w:rFonts w:asciiTheme="majorHAnsi" w:hAnsiTheme="majorHAnsi" w:cs="Calibri"/>
        </w:rPr>
      </w:pPr>
    </w:p>
    <w:p w14:paraId="7D7F8123" w14:textId="77777777" w:rsidR="000B620F" w:rsidRPr="00AE1725" w:rsidRDefault="000B620F" w:rsidP="00AE1725">
      <w:pPr>
        <w:spacing w:line="240" w:lineRule="auto"/>
        <w:jc w:val="center"/>
        <w:rPr>
          <w:rFonts w:asciiTheme="majorHAnsi" w:hAnsiTheme="majorHAnsi" w:cs="Calibri"/>
        </w:rPr>
      </w:pPr>
    </w:p>
    <w:p w14:paraId="2A3CC06F" w14:textId="77777777" w:rsidR="000B620F" w:rsidRPr="00AE1725" w:rsidRDefault="000B620F" w:rsidP="00AE1725">
      <w:pPr>
        <w:spacing w:line="240" w:lineRule="auto"/>
        <w:jc w:val="center"/>
        <w:rPr>
          <w:rFonts w:asciiTheme="majorHAnsi" w:hAnsiTheme="majorHAnsi" w:cs="Calibri"/>
        </w:rPr>
      </w:pPr>
    </w:p>
    <w:p w14:paraId="15A74B55" w14:textId="77777777" w:rsidR="000B620F" w:rsidRPr="00AE1725" w:rsidRDefault="000B620F" w:rsidP="00AE1725">
      <w:pPr>
        <w:spacing w:line="240" w:lineRule="auto"/>
        <w:jc w:val="center"/>
        <w:rPr>
          <w:rFonts w:asciiTheme="majorHAnsi" w:hAnsiTheme="majorHAnsi" w:cs="Calibri"/>
        </w:rPr>
      </w:pPr>
    </w:p>
    <w:p w14:paraId="34ECE27C" w14:textId="77777777" w:rsidR="000B620F" w:rsidRPr="00AE1725" w:rsidRDefault="000B620F" w:rsidP="00AE1725">
      <w:pPr>
        <w:spacing w:line="240" w:lineRule="auto"/>
        <w:jc w:val="center"/>
        <w:rPr>
          <w:rFonts w:asciiTheme="majorHAnsi" w:hAnsiTheme="majorHAnsi" w:cs="Calibri"/>
        </w:rPr>
      </w:pPr>
    </w:p>
    <w:p w14:paraId="2F0FFAC7" w14:textId="77777777" w:rsidR="000B620F" w:rsidRPr="00AE1725" w:rsidRDefault="000B620F" w:rsidP="00AE1725">
      <w:pPr>
        <w:spacing w:line="240" w:lineRule="auto"/>
        <w:jc w:val="center"/>
        <w:rPr>
          <w:rFonts w:asciiTheme="majorHAnsi" w:hAnsiTheme="majorHAnsi" w:cs="Calibri"/>
        </w:rPr>
      </w:pPr>
    </w:p>
    <w:p w14:paraId="0F97654F" w14:textId="77777777" w:rsidR="000B620F" w:rsidRPr="00AE1725" w:rsidRDefault="000B620F" w:rsidP="00AE1725">
      <w:pPr>
        <w:spacing w:line="240" w:lineRule="auto"/>
        <w:jc w:val="center"/>
        <w:rPr>
          <w:rFonts w:asciiTheme="majorHAnsi" w:hAnsiTheme="majorHAnsi" w:cs="Calibri"/>
        </w:rPr>
      </w:pPr>
    </w:p>
    <w:p w14:paraId="77532EB9" w14:textId="77777777" w:rsidR="000B620F" w:rsidRPr="00AE1725" w:rsidRDefault="000B620F" w:rsidP="00AE1725">
      <w:pPr>
        <w:spacing w:line="240" w:lineRule="auto"/>
        <w:jc w:val="center"/>
        <w:rPr>
          <w:rFonts w:asciiTheme="majorHAnsi" w:hAnsiTheme="majorHAnsi" w:cs="Calibri"/>
        </w:rPr>
      </w:pPr>
    </w:p>
    <w:p w14:paraId="6C7E051A" w14:textId="77777777" w:rsidR="000B620F" w:rsidRPr="00AE1725" w:rsidRDefault="000B620F" w:rsidP="00AE1725">
      <w:pPr>
        <w:spacing w:line="240" w:lineRule="auto"/>
        <w:jc w:val="center"/>
        <w:rPr>
          <w:rFonts w:asciiTheme="majorHAnsi" w:hAnsiTheme="majorHAnsi" w:cs="Calibri"/>
        </w:rPr>
      </w:pPr>
    </w:p>
    <w:p w14:paraId="346AFF51" w14:textId="77777777" w:rsidR="00AE1725" w:rsidRPr="00AE1725" w:rsidRDefault="00AE1725" w:rsidP="00AE1725">
      <w:pPr>
        <w:spacing w:line="240" w:lineRule="auto"/>
        <w:jc w:val="center"/>
        <w:rPr>
          <w:rFonts w:asciiTheme="majorHAnsi" w:hAnsiTheme="majorHAnsi" w:cs="Calibri"/>
        </w:rPr>
      </w:pPr>
    </w:p>
    <w:p w14:paraId="0BF910AD" w14:textId="77777777" w:rsidR="00AE1725" w:rsidRPr="00AE1725" w:rsidRDefault="00AE1725" w:rsidP="00AE1725">
      <w:pPr>
        <w:spacing w:line="240" w:lineRule="auto"/>
        <w:jc w:val="center"/>
        <w:rPr>
          <w:rFonts w:asciiTheme="majorHAnsi" w:hAnsiTheme="majorHAnsi" w:cs="Calibri"/>
        </w:rPr>
      </w:pPr>
    </w:p>
    <w:p w14:paraId="6E6AB28E" w14:textId="77777777" w:rsidR="000B620F" w:rsidRPr="00AE1725" w:rsidRDefault="000B620F" w:rsidP="00AE1725">
      <w:pPr>
        <w:spacing w:line="240" w:lineRule="auto"/>
        <w:jc w:val="center"/>
        <w:rPr>
          <w:rFonts w:asciiTheme="majorHAnsi" w:hAnsiTheme="majorHAnsi" w:cs="Calibri"/>
        </w:rPr>
      </w:pPr>
    </w:p>
    <w:p w14:paraId="5252E463" w14:textId="77777777" w:rsidR="000B620F" w:rsidRPr="00AE1725" w:rsidRDefault="000B620F" w:rsidP="00AE1725">
      <w:pPr>
        <w:spacing w:line="240" w:lineRule="auto"/>
        <w:jc w:val="center"/>
        <w:rPr>
          <w:rFonts w:asciiTheme="majorHAnsi" w:hAnsiTheme="majorHAnsi" w:cs="Calibri"/>
        </w:rPr>
      </w:pPr>
    </w:p>
    <w:sdt>
      <w:sdtPr>
        <w:rPr>
          <w:rFonts w:asciiTheme="minorHAnsi" w:eastAsiaTheme="minorHAnsi" w:hAnsiTheme="minorHAnsi" w:cstheme="minorBidi"/>
          <w:color w:val="auto"/>
          <w:kern w:val="2"/>
          <w:sz w:val="24"/>
          <w:szCs w:val="24"/>
          <w14:ligatures w14:val="standardContextual"/>
        </w:rPr>
        <w:id w:val="-1084530968"/>
        <w:docPartObj>
          <w:docPartGallery w:val="Table of Contents"/>
          <w:docPartUnique/>
        </w:docPartObj>
      </w:sdtPr>
      <w:sdtEndPr>
        <w:rPr>
          <w:b/>
          <w:bCs/>
          <w:noProof/>
        </w:rPr>
      </w:sdtEndPr>
      <w:sdtContent>
        <w:p w14:paraId="745AB55C" w14:textId="1DEE7291" w:rsidR="00AD7F58" w:rsidRDefault="00AD7F58">
          <w:pPr>
            <w:pStyle w:val="TOCHeading"/>
          </w:pPr>
          <w:r>
            <w:t>Table of Contents</w:t>
          </w:r>
        </w:p>
        <w:p w14:paraId="19754F96" w14:textId="09D7AD3C" w:rsidR="00AD7F58" w:rsidRDefault="00AD7F58">
          <w:pPr>
            <w:pStyle w:val="TOC1"/>
            <w:tabs>
              <w:tab w:val="right" w:leader="dot" w:pos="9350"/>
            </w:tabs>
            <w:rPr>
              <w:noProof/>
            </w:rPr>
          </w:pPr>
          <w:r>
            <w:fldChar w:fldCharType="begin"/>
          </w:r>
          <w:r>
            <w:instrText xml:space="preserve"> TOC \o "1-3" \h \z \u </w:instrText>
          </w:r>
          <w:r>
            <w:fldChar w:fldCharType="separate"/>
          </w:r>
          <w:hyperlink w:anchor="_Toc197467518" w:history="1">
            <w:r w:rsidRPr="007D39AD">
              <w:rPr>
                <w:rStyle w:val="Hyperlink"/>
                <w:noProof/>
              </w:rPr>
              <w:t>Section 1: Company Overview</w:t>
            </w:r>
            <w:r>
              <w:rPr>
                <w:noProof/>
                <w:webHidden/>
              </w:rPr>
              <w:tab/>
            </w:r>
            <w:r>
              <w:rPr>
                <w:noProof/>
                <w:webHidden/>
              </w:rPr>
              <w:fldChar w:fldCharType="begin"/>
            </w:r>
            <w:r>
              <w:rPr>
                <w:noProof/>
                <w:webHidden/>
              </w:rPr>
              <w:instrText xml:space="preserve"> PAGEREF _Toc197467518 \h </w:instrText>
            </w:r>
            <w:r>
              <w:rPr>
                <w:noProof/>
                <w:webHidden/>
              </w:rPr>
            </w:r>
            <w:r>
              <w:rPr>
                <w:noProof/>
                <w:webHidden/>
              </w:rPr>
              <w:fldChar w:fldCharType="separate"/>
            </w:r>
            <w:r w:rsidR="00F53D5A">
              <w:rPr>
                <w:noProof/>
                <w:webHidden/>
              </w:rPr>
              <w:t>3</w:t>
            </w:r>
            <w:r>
              <w:rPr>
                <w:noProof/>
                <w:webHidden/>
              </w:rPr>
              <w:fldChar w:fldCharType="end"/>
            </w:r>
          </w:hyperlink>
        </w:p>
        <w:p w14:paraId="447ADCEC" w14:textId="5084F761" w:rsidR="00AD7F58" w:rsidRDefault="00AD7F58">
          <w:pPr>
            <w:pStyle w:val="TOC2"/>
            <w:tabs>
              <w:tab w:val="right" w:leader="dot" w:pos="9350"/>
            </w:tabs>
            <w:rPr>
              <w:noProof/>
            </w:rPr>
          </w:pPr>
          <w:hyperlink w:anchor="_Toc197467519" w:history="1">
            <w:r w:rsidRPr="007D39AD">
              <w:rPr>
                <w:rStyle w:val="Hyperlink"/>
                <w:noProof/>
              </w:rPr>
              <w:t>I. Company Background and History</w:t>
            </w:r>
            <w:r>
              <w:rPr>
                <w:noProof/>
                <w:webHidden/>
              </w:rPr>
              <w:tab/>
            </w:r>
            <w:r>
              <w:rPr>
                <w:noProof/>
                <w:webHidden/>
              </w:rPr>
              <w:fldChar w:fldCharType="begin"/>
            </w:r>
            <w:r>
              <w:rPr>
                <w:noProof/>
                <w:webHidden/>
              </w:rPr>
              <w:instrText xml:space="preserve"> PAGEREF _Toc197467519 \h </w:instrText>
            </w:r>
            <w:r>
              <w:rPr>
                <w:noProof/>
                <w:webHidden/>
              </w:rPr>
            </w:r>
            <w:r>
              <w:rPr>
                <w:noProof/>
                <w:webHidden/>
              </w:rPr>
              <w:fldChar w:fldCharType="separate"/>
            </w:r>
            <w:r w:rsidR="00F53D5A">
              <w:rPr>
                <w:noProof/>
                <w:webHidden/>
              </w:rPr>
              <w:t>3</w:t>
            </w:r>
            <w:r>
              <w:rPr>
                <w:noProof/>
                <w:webHidden/>
              </w:rPr>
              <w:fldChar w:fldCharType="end"/>
            </w:r>
          </w:hyperlink>
        </w:p>
        <w:p w14:paraId="387A22C0" w14:textId="309B1542" w:rsidR="00AD7F58" w:rsidRDefault="00AD7F58">
          <w:pPr>
            <w:pStyle w:val="TOC2"/>
            <w:tabs>
              <w:tab w:val="right" w:leader="dot" w:pos="9350"/>
            </w:tabs>
            <w:rPr>
              <w:noProof/>
            </w:rPr>
          </w:pPr>
          <w:hyperlink w:anchor="_Toc197467520" w:history="1">
            <w:r w:rsidRPr="007D39AD">
              <w:rPr>
                <w:rStyle w:val="Hyperlink"/>
                <w:noProof/>
              </w:rPr>
              <w:t>II. Business Model</w:t>
            </w:r>
            <w:r>
              <w:rPr>
                <w:noProof/>
                <w:webHidden/>
              </w:rPr>
              <w:tab/>
            </w:r>
            <w:r>
              <w:rPr>
                <w:noProof/>
                <w:webHidden/>
              </w:rPr>
              <w:fldChar w:fldCharType="begin"/>
            </w:r>
            <w:r>
              <w:rPr>
                <w:noProof/>
                <w:webHidden/>
              </w:rPr>
              <w:instrText xml:space="preserve"> PAGEREF _Toc197467520 \h </w:instrText>
            </w:r>
            <w:r>
              <w:rPr>
                <w:noProof/>
                <w:webHidden/>
              </w:rPr>
            </w:r>
            <w:r>
              <w:rPr>
                <w:noProof/>
                <w:webHidden/>
              </w:rPr>
              <w:fldChar w:fldCharType="separate"/>
            </w:r>
            <w:r w:rsidR="00F53D5A">
              <w:rPr>
                <w:noProof/>
                <w:webHidden/>
              </w:rPr>
              <w:t>3</w:t>
            </w:r>
            <w:r>
              <w:rPr>
                <w:noProof/>
                <w:webHidden/>
              </w:rPr>
              <w:fldChar w:fldCharType="end"/>
            </w:r>
          </w:hyperlink>
        </w:p>
        <w:p w14:paraId="4093F17F" w14:textId="236884A1" w:rsidR="00AD7F58" w:rsidRDefault="00AD7F58">
          <w:pPr>
            <w:pStyle w:val="TOC2"/>
            <w:tabs>
              <w:tab w:val="right" w:leader="dot" w:pos="9350"/>
            </w:tabs>
            <w:rPr>
              <w:noProof/>
            </w:rPr>
          </w:pPr>
          <w:hyperlink w:anchor="_Toc197467521" w:history="1">
            <w:r w:rsidRPr="007D39AD">
              <w:rPr>
                <w:rStyle w:val="Hyperlink"/>
                <w:noProof/>
              </w:rPr>
              <w:t>III. Major Brands</w:t>
            </w:r>
            <w:r>
              <w:rPr>
                <w:noProof/>
                <w:webHidden/>
              </w:rPr>
              <w:tab/>
            </w:r>
            <w:r>
              <w:rPr>
                <w:noProof/>
                <w:webHidden/>
              </w:rPr>
              <w:fldChar w:fldCharType="begin"/>
            </w:r>
            <w:r>
              <w:rPr>
                <w:noProof/>
                <w:webHidden/>
              </w:rPr>
              <w:instrText xml:space="preserve"> PAGEREF _Toc197467521 \h </w:instrText>
            </w:r>
            <w:r>
              <w:rPr>
                <w:noProof/>
                <w:webHidden/>
              </w:rPr>
            </w:r>
            <w:r>
              <w:rPr>
                <w:noProof/>
                <w:webHidden/>
              </w:rPr>
              <w:fldChar w:fldCharType="separate"/>
            </w:r>
            <w:r w:rsidR="00F53D5A">
              <w:rPr>
                <w:noProof/>
                <w:webHidden/>
              </w:rPr>
              <w:t>3</w:t>
            </w:r>
            <w:r>
              <w:rPr>
                <w:noProof/>
                <w:webHidden/>
              </w:rPr>
              <w:fldChar w:fldCharType="end"/>
            </w:r>
          </w:hyperlink>
        </w:p>
        <w:p w14:paraId="06A47580" w14:textId="63EEE34D" w:rsidR="00AD7F58" w:rsidRDefault="00AD7F58">
          <w:pPr>
            <w:pStyle w:val="TOC2"/>
            <w:tabs>
              <w:tab w:val="right" w:leader="dot" w:pos="9350"/>
            </w:tabs>
            <w:rPr>
              <w:noProof/>
            </w:rPr>
          </w:pPr>
          <w:hyperlink w:anchor="_Toc197467522" w:history="1">
            <w:r w:rsidRPr="007D39AD">
              <w:rPr>
                <w:rStyle w:val="Hyperlink"/>
                <w:noProof/>
              </w:rPr>
              <w:t>IV. Recent Business Highlights</w:t>
            </w:r>
            <w:r>
              <w:rPr>
                <w:noProof/>
                <w:webHidden/>
              </w:rPr>
              <w:tab/>
            </w:r>
            <w:r>
              <w:rPr>
                <w:noProof/>
                <w:webHidden/>
              </w:rPr>
              <w:fldChar w:fldCharType="begin"/>
            </w:r>
            <w:r>
              <w:rPr>
                <w:noProof/>
                <w:webHidden/>
              </w:rPr>
              <w:instrText xml:space="preserve"> PAGEREF _Toc197467522 \h </w:instrText>
            </w:r>
            <w:r>
              <w:rPr>
                <w:noProof/>
                <w:webHidden/>
              </w:rPr>
            </w:r>
            <w:r>
              <w:rPr>
                <w:noProof/>
                <w:webHidden/>
              </w:rPr>
              <w:fldChar w:fldCharType="separate"/>
            </w:r>
            <w:r w:rsidR="00F53D5A">
              <w:rPr>
                <w:noProof/>
                <w:webHidden/>
              </w:rPr>
              <w:t>4</w:t>
            </w:r>
            <w:r>
              <w:rPr>
                <w:noProof/>
                <w:webHidden/>
              </w:rPr>
              <w:fldChar w:fldCharType="end"/>
            </w:r>
          </w:hyperlink>
        </w:p>
        <w:p w14:paraId="6E3C533D" w14:textId="479878EB" w:rsidR="00AD7F58" w:rsidRDefault="00AD7F58">
          <w:pPr>
            <w:pStyle w:val="TOC2"/>
            <w:tabs>
              <w:tab w:val="right" w:leader="dot" w:pos="9350"/>
            </w:tabs>
            <w:rPr>
              <w:noProof/>
            </w:rPr>
          </w:pPr>
          <w:hyperlink w:anchor="_Toc197467523" w:history="1">
            <w:r w:rsidRPr="007D39AD">
              <w:rPr>
                <w:rStyle w:val="Hyperlink"/>
                <w:noProof/>
              </w:rPr>
              <w:t>V. Competitors</w:t>
            </w:r>
            <w:r>
              <w:rPr>
                <w:noProof/>
                <w:webHidden/>
              </w:rPr>
              <w:tab/>
            </w:r>
            <w:r>
              <w:rPr>
                <w:noProof/>
                <w:webHidden/>
              </w:rPr>
              <w:fldChar w:fldCharType="begin"/>
            </w:r>
            <w:r>
              <w:rPr>
                <w:noProof/>
                <w:webHidden/>
              </w:rPr>
              <w:instrText xml:space="preserve"> PAGEREF _Toc197467523 \h </w:instrText>
            </w:r>
            <w:r>
              <w:rPr>
                <w:noProof/>
                <w:webHidden/>
              </w:rPr>
            </w:r>
            <w:r>
              <w:rPr>
                <w:noProof/>
                <w:webHidden/>
              </w:rPr>
              <w:fldChar w:fldCharType="separate"/>
            </w:r>
            <w:r w:rsidR="00F53D5A">
              <w:rPr>
                <w:noProof/>
                <w:webHidden/>
              </w:rPr>
              <w:t>4</w:t>
            </w:r>
            <w:r>
              <w:rPr>
                <w:noProof/>
                <w:webHidden/>
              </w:rPr>
              <w:fldChar w:fldCharType="end"/>
            </w:r>
          </w:hyperlink>
        </w:p>
        <w:p w14:paraId="1B523DA7" w14:textId="6CA196D2" w:rsidR="00AD7F58" w:rsidRDefault="00AD7F58">
          <w:pPr>
            <w:pStyle w:val="TOC1"/>
            <w:tabs>
              <w:tab w:val="right" w:leader="dot" w:pos="9350"/>
            </w:tabs>
            <w:rPr>
              <w:noProof/>
            </w:rPr>
          </w:pPr>
          <w:hyperlink w:anchor="_Toc197467524" w:history="1">
            <w:r w:rsidRPr="007D39AD">
              <w:rPr>
                <w:rStyle w:val="Hyperlink"/>
                <w:noProof/>
              </w:rPr>
              <w:t>Section 2: Recent Financial Performance</w:t>
            </w:r>
            <w:r>
              <w:rPr>
                <w:noProof/>
                <w:webHidden/>
              </w:rPr>
              <w:tab/>
            </w:r>
            <w:r>
              <w:rPr>
                <w:noProof/>
                <w:webHidden/>
              </w:rPr>
              <w:fldChar w:fldCharType="begin"/>
            </w:r>
            <w:r>
              <w:rPr>
                <w:noProof/>
                <w:webHidden/>
              </w:rPr>
              <w:instrText xml:space="preserve"> PAGEREF _Toc197467524 \h </w:instrText>
            </w:r>
            <w:r>
              <w:rPr>
                <w:noProof/>
                <w:webHidden/>
              </w:rPr>
            </w:r>
            <w:r>
              <w:rPr>
                <w:noProof/>
                <w:webHidden/>
              </w:rPr>
              <w:fldChar w:fldCharType="separate"/>
            </w:r>
            <w:r w:rsidR="00F53D5A">
              <w:rPr>
                <w:noProof/>
                <w:webHidden/>
              </w:rPr>
              <w:t>5</w:t>
            </w:r>
            <w:r>
              <w:rPr>
                <w:noProof/>
                <w:webHidden/>
              </w:rPr>
              <w:fldChar w:fldCharType="end"/>
            </w:r>
          </w:hyperlink>
        </w:p>
        <w:p w14:paraId="3D13F820" w14:textId="15270C5A" w:rsidR="00AD7F58" w:rsidRDefault="00AD7F58">
          <w:pPr>
            <w:pStyle w:val="TOC2"/>
            <w:tabs>
              <w:tab w:val="left" w:pos="720"/>
              <w:tab w:val="right" w:leader="dot" w:pos="9350"/>
            </w:tabs>
            <w:rPr>
              <w:noProof/>
            </w:rPr>
          </w:pPr>
          <w:hyperlink w:anchor="_Toc197467525" w:history="1">
            <w:r w:rsidRPr="007D39AD">
              <w:rPr>
                <w:rStyle w:val="Hyperlink"/>
                <w:noProof/>
              </w:rPr>
              <w:t>I.</w:t>
            </w:r>
            <w:r>
              <w:rPr>
                <w:noProof/>
              </w:rPr>
              <w:tab/>
            </w:r>
            <w:r w:rsidRPr="007D39AD">
              <w:rPr>
                <w:rStyle w:val="Hyperlink"/>
                <w:noProof/>
              </w:rPr>
              <w:t>Sales and Profitability Metrics</w:t>
            </w:r>
            <w:r>
              <w:rPr>
                <w:noProof/>
                <w:webHidden/>
              </w:rPr>
              <w:tab/>
            </w:r>
            <w:r>
              <w:rPr>
                <w:noProof/>
                <w:webHidden/>
              </w:rPr>
              <w:fldChar w:fldCharType="begin"/>
            </w:r>
            <w:r>
              <w:rPr>
                <w:noProof/>
                <w:webHidden/>
              </w:rPr>
              <w:instrText xml:space="preserve"> PAGEREF _Toc197467525 \h </w:instrText>
            </w:r>
            <w:r>
              <w:rPr>
                <w:noProof/>
                <w:webHidden/>
              </w:rPr>
            </w:r>
            <w:r>
              <w:rPr>
                <w:noProof/>
                <w:webHidden/>
              </w:rPr>
              <w:fldChar w:fldCharType="separate"/>
            </w:r>
            <w:r w:rsidR="00F53D5A">
              <w:rPr>
                <w:noProof/>
                <w:webHidden/>
              </w:rPr>
              <w:t>5</w:t>
            </w:r>
            <w:r>
              <w:rPr>
                <w:noProof/>
                <w:webHidden/>
              </w:rPr>
              <w:fldChar w:fldCharType="end"/>
            </w:r>
          </w:hyperlink>
        </w:p>
        <w:p w14:paraId="4222AFE7" w14:textId="39806E10" w:rsidR="00AD7F58" w:rsidRDefault="00AD7F58">
          <w:pPr>
            <w:pStyle w:val="TOC2"/>
            <w:tabs>
              <w:tab w:val="right" w:leader="dot" w:pos="9350"/>
            </w:tabs>
            <w:rPr>
              <w:noProof/>
            </w:rPr>
          </w:pPr>
          <w:hyperlink w:anchor="_Toc197467526" w:history="1">
            <w:r w:rsidRPr="007D39AD">
              <w:rPr>
                <w:rStyle w:val="Hyperlink"/>
                <w:noProof/>
              </w:rPr>
              <w:t>II. Liquidity and Leverage Metrics</w:t>
            </w:r>
            <w:r>
              <w:rPr>
                <w:noProof/>
                <w:webHidden/>
              </w:rPr>
              <w:tab/>
            </w:r>
            <w:r>
              <w:rPr>
                <w:noProof/>
                <w:webHidden/>
              </w:rPr>
              <w:fldChar w:fldCharType="begin"/>
            </w:r>
            <w:r>
              <w:rPr>
                <w:noProof/>
                <w:webHidden/>
              </w:rPr>
              <w:instrText xml:space="preserve"> PAGEREF _Toc197467526 \h </w:instrText>
            </w:r>
            <w:r>
              <w:rPr>
                <w:noProof/>
                <w:webHidden/>
              </w:rPr>
            </w:r>
            <w:r>
              <w:rPr>
                <w:noProof/>
                <w:webHidden/>
              </w:rPr>
              <w:fldChar w:fldCharType="separate"/>
            </w:r>
            <w:r w:rsidR="00F53D5A">
              <w:rPr>
                <w:noProof/>
                <w:webHidden/>
              </w:rPr>
              <w:t>6</w:t>
            </w:r>
            <w:r>
              <w:rPr>
                <w:noProof/>
                <w:webHidden/>
              </w:rPr>
              <w:fldChar w:fldCharType="end"/>
            </w:r>
          </w:hyperlink>
        </w:p>
        <w:p w14:paraId="47C3074F" w14:textId="3BEAFB48" w:rsidR="00AD7F58" w:rsidRDefault="00AD7F58">
          <w:pPr>
            <w:pStyle w:val="TOC1"/>
            <w:tabs>
              <w:tab w:val="right" w:leader="dot" w:pos="9350"/>
            </w:tabs>
            <w:rPr>
              <w:noProof/>
            </w:rPr>
          </w:pPr>
          <w:hyperlink w:anchor="_Toc197467527" w:history="1">
            <w:r w:rsidRPr="007D39AD">
              <w:rPr>
                <w:rStyle w:val="Hyperlink"/>
                <w:noProof/>
              </w:rPr>
              <w:t>Section 3: Investing Activities</w:t>
            </w:r>
            <w:r>
              <w:rPr>
                <w:noProof/>
                <w:webHidden/>
              </w:rPr>
              <w:tab/>
            </w:r>
            <w:r>
              <w:rPr>
                <w:noProof/>
                <w:webHidden/>
              </w:rPr>
              <w:fldChar w:fldCharType="begin"/>
            </w:r>
            <w:r>
              <w:rPr>
                <w:noProof/>
                <w:webHidden/>
              </w:rPr>
              <w:instrText xml:space="preserve"> PAGEREF _Toc197467527 \h </w:instrText>
            </w:r>
            <w:r>
              <w:rPr>
                <w:noProof/>
                <w:webHidden/>
              </w:rPr>
            </w:r>
            <w:r>
              <w:rPr>
                <w:noProof/>
                <w:webHidden/>
              </w:rPr>
              <w:fldChar w:fldCharType="separate"/>
            </w:r>
            <w:r w:rsidR="00F53D5A">
              <w:rPr>
                <w:noProof/>
                <w:webHidden/>
              </w:rPr>
              <w:t>7</w:t>
            </w:r>
            <w:r>
              <w:rPr>
                <w:noProof/>
                <w:webHidden/>
              </w:rPr>
              <w:fldChar w:fldCharType="end"/>
            </w:r>
          </w:hyperlink>
        </w:p>
        <w:p w14:paraId="1FFC4C1A" w14:textId="3E7C0CD2" w:rsidR="00AD7F58" w:rsidRDefault="00AD7F58">
          <w:pPr>
            <w:pStyle w:val="TOC2"/>
            <w:tabs>
              <w:tab w:val="right" w:leader="dot" w:pos="9350"/>
            </w:tabs>
            <w:rPr>
              <w:noProof/>
            </w:rPr>
          </w:pPr>
          <w:hyperlink w:anchor="_Toc197467528" w:history="1">
            <w:r w:rsidRPr="007D39AD">
              <w:rPr>
                <w:rStyle w:val="Hyperlink"/>
                <w:noProof/>
              </w:rPr>
              <w:t>I. Investment Overview</w:t>
            </w:r>
            <w:r>
              <w:rPr>
                <w:noProof/>
                <w:webHidden/>
              </w:rPr>
              <w:tab/>
            </w:r>
            <w:r>
              <w:rPr>
                <w:noProof/>
                <w:webHidden/>
              </w:rPr>
              <w:fldChar w:fldCharType="begin"/>
            </w:r>
            <w:r>
              <w:rPr>
                <w:noProof/>
                <w:webHidden/>
              </w:rPr>
              <w:instrText xml:space="preserve"> PAGEREF _Toc197467528 \h </w:instrText>
            </w:r>
            <w:r>
              <w:rPr>
                <w:noProof/>
                <w:webHidden/>
              </w:rPr>
            </w:r>
            <w:r>
              <w:rPr>
                <w:noProof/>
                <w:webHidden/>
              </w:rPr>
              <w:fldChar w:fldCharType="separate"/>
            </w:r>
            <w:r w:rsidR="00F53D5A">
              <w:rPr>
                <w:noProof/>
                <w:webHidden/>
              </w:rPr>
              <w:t>7</w:t>
            </w:r>
            <w:r>
              <w:rPr>
                <w:noProof/>
                <w:webHidden/>
              </w:rPr>
              <w:fldChar w:fldCharType="end"/>
            </w:r>
          </w:hyperlink>
        </w:p>
        <w:p w14:paraId="2D00323A" w14:textId="26A75904" w:rsidR="00AD7F58" w:rsidRDefault="00AD7F58">
          <w:pPr>
            <w:pStyle w:val="TOC2"/>
            <w:tabs>
              <w:tab w:val="right" w:leader="dot" w:pos="9350"/>
            </w:tabs>
            <w:rPr>
              <w:noProof/>
            </w:rPr>
          </w:pPr>
          <w:hyperlink w:anchor="_Toc197467529" w:history="1">
            <w:r w:rsidRPr="007D39AD">
              <w:rPr>
                <w:rStyle w:val="Hyperlink"/>
                <w:noProof/>
              </w:rPr>
              <w:t>II. Investment Date</w:t>
            </w:r>
            <w:r>
              <w:rPr>
                <w:noProof/>
                <w:webHidden/>
              </w:rPr>
              <w:tab/>
            </w:r>
            <w:r>
              <w:rPr>
                <w:noProof/>
                <w:webHidden/>
              </w:rPr>
              <w:fldChar w:fldCharType="begin"/>
            </w:r>
            <w:r>
              <w:rPr>
                <w:noProof/>
                <w:webHidden/>
              </w:rPr>
              <w:instrText xml:space="preserve"> PAGEREF _Toc197467529 \h </w:instrText>
            </w:r>
            <w:r>
              <w:rPr>
                <w:noProof/>
                <w:webHidden/>
              </w:rPr>
            </w:r>
            <w:r>
              <w:rPr>
                <w:noProof/>
                <w:webHidden/>
              </w:rPr>
              <w:fldChar w:fldCharType="separate"/>
            </w:r>
            <w:r w:rsidR="00F53D5A">
              <w:rPr>
                <w:noProof/>
                <w:webHidden/>
              </w:rPr>
              <w:t>7</w:t>
            </w:r>
            <w:r>
              <w:rPr>
                <w:noProof/>
                <w:webHidden/>
              </w:rPr>
              <w:fldChar w:fldCharType="end"/>
            </w:r>
          </w:hyperlink>
        </w:p>
        <w:p w14:paraId="7B93980F" w14:textId="37FEFB42" w:rsidR="00AD7F58" w:rsidRDefault="00AD7F58">
          <w:pPr>
            <w:pStyle w:val="TOC2"/>
            <w:tabs>
              <w:tab w:val="right" w:leader="dot" w:pos="9350"/>
            </w:tabs>
            <w:rPr>
              <w:noProof/>
            </w:rPr>
          </w:pPr>
          <w:hyperlink w:anchor="_Toc197467530" w:history="1">
            <w:r w:rsidRPr="007D39AD">
              <w:rPr>
                <w:rStyle w:val="Hyperlink"/>
                <w:noProof/>
              </w:rPr>
              <w:t>III. Investment Cost</w:t>
            </w:r>
            <w:r>
              <w:rPr>
                <w:noProof/>
                <w:webHidden/>
              </w:rPr>
              <w:tab/>
            </w:r>
            <w:r>
              <w:rPr>
                <w:noProof/>
                <w:webHidden/>
              </w:rPr>
              <w:fldChar w:fldCharType="begin"/>
            </w:r>
            <w:r>
              <w:rPr>
                <w:noProof/>
                <w:webHidden/>
              </w:rPr>
              <w:instrText xml:space="preserve"> PAGEREF _Toc197467530 \h </w:instrText>
            </w:r>
            <w:r>
              <w:rPr>
                <w:noProof/>
                <w:webHidden/>
              </w:rPr>
            </w:r>
            <w:r>
              <w:rPr>
                <w:noProof/>
                <w:webHidden/>
              </w:rPr>
              <w:fldChar w:fldCharType="separate"/>
            </w:r>
            <w:r w:rsidR="00F53D5A">
              <w:rPr>
                <w:noProof/>
                <w:webHidden/>
              </w:rPr>
              <w:t>7</w:t>
            </w:r>
            <w:r>
              <w:rPr>
                <w:noProof/>
                <w:webHidden/>
              </w:rPr>
              <w:fldChar w:fldCharType="end"/>
            </w:r>
          </w:hyperlink>
        </w:p>
        <w:p w14:paraId="683D721B" w14:textId="4F0193F5" w:rsidR="00AD7F58" w:rsidRDefault="00AD7F58">
          <w:pPr>
            <w:pStyle w:val="TOC2"/>
            <w:tabs>
              <w:tab w:val="right" w:leader="dot" w:pos="9350"/>
            </w:tabs>
            <w:rPr>
              <w:noProof/>
            </w:rPr>
          </w:pPr>
          <w:hyperlink w:anchor="_Toc197467531" w:history="1">
            <w:r w:rsidRPr="007D39AD">
              <w:rPr>
                <w:rStyle w:val="Hyperlink"/>
                <w:noProof/>
              </w:rPr>
              <w:t>IV. Investment Results:</w:t>
            </w:r>
            <w:r>
              <w:rPr>
                <w:noProof/>
                <w:webHidden/>
              </w:rPr>
              <w:tab/>
            </w:r>
            <w:r>
              <w:rPr>
                <w:noProof/>
                <w:webHidden/>
              </w:rPr>
              <w:fldChar w:fldCharType="begin"/>
            </w:r>
            <w:r>
              <w:rPr>
                <w:noProof/>
                <w:webHidden/>
              </w:rPr>
              <w:instrText xml:space="preserve"> PAGEREF _Toc197467531 \h </w:instrText>
            </w:r>
            <w:r>
              <w:rPr>
                <w:noProof/>
                <w:webHidden/>
              </w:rPr>
            </w:r>
            <w:r>
              <w:rPr>
                <w:noProof/>
                <w:webHidden/>
              </w:rPr>
              <w:fldChar w:fldCharType="separate"/>
            </w:r>
            <w:r w:rsidR="00F53D5A">
              <w:rPr>
                <w:noProof/>
                <w:webHidden/>
              </w:rPr>
              <w:t>8</w:t>
            </w:r>
            <w:r>
              <w:rPr>
                <w:noProof/>
                <w:webHidden/>
              </w:rPr>
              <w:fldChar w:fldCharType="end"/>
            </w:r>
          </w:hyperlink>
        </w:p>
        <w:p w14:paraId="184F5CFD" w14:textId="382955EF" w:rsidR="00AD7F58" w:rsidRDefault="00AD7F58">
          <w:pPr>
            <w:pStyle w:val="TOC1"/>
            <w:tabs>
              <w:tab w:val="right" w:leader="dot" w:pos="9350"/>
            </w:tabs>
            <w:rPr>
              <w:noProof/>
            </w:rPr>
          </w:pPr>
          <w:hyperlink w:anchor="_Toc197467532" w:history="1">
            <w:r w:rsidRPr="007D39AD">
              <w:rPr>
                <w:rStyle w:val="Hyperlink"/>
                <w:noProof/>
              </w:rPr>
              <w:t>Section 4: Financing and Payout Activities</w:t>
            </w:r>
            <w:r>
              <w:rPr>
                <w:noProof/>
                <w:webHidden/>
              </w:rPr>
              <w:tab/>
            </w:r>
            <w:r>
              <w:rPr>
                <w:noProof/>
                <w:webHidden/>
              </w:rPr>
              <w:fldChar w:fldCharType="begin"/>
            </w:r>
            <w:r>
              <w:rPr>
                <w:noProof/>
                <w:webHidden/>
              </w:rPr>
              <w:instrText xml:space="preserve"> PAGEREF _Toc197467532 \h </w:instrText>
            </w:r>
            <w:r>
              <w:rPr>
                <w:noProof/>
                <w:webHidden/>
              </w:rPr>
            </w:r>
            <w:r>
              <w:rPr>
                <w:noProof/>
                <w:webHidden/>
              </w:rPr>
              <w:fldChar w:fldCharType="separate"/>
            </w:r>
            <w:r w:rsidR="00F53D5A">
              <w:rPr>
                <w:noProof/>
                <w:webHidden/>
              </w:rPr>
              <w:t>8</w:t>
            </w:r>
            <w:r>
              <w:rPr>
                <w:noProof/>
                <w:webHidden/>
              </w:rPr>
              <w:fldChar w:fldCharType="end"/>
            </w:r>
          </w:hyperlink>
        </w:p>
        <w:p w14:paraId="37AF0DF5" w14:textId="38A73413" w:rsidR="00AD7F58" w:rsidRDefault="00AD7F58">
          <w:pPr>
            <w:pStyle w:val="TOC2"/>
            <w:tabs>
              <w:tab w:val="right" w:leader="dot" w:pos="9350"/>
            </w:tabs>
            <w:rPr>
              <w:noProof/>
            </w:rPr>
          </w:pPr>
          <w:hyperlink w:anchor="_Toc197467533" w:history="1">
            <w:r w:rsidRPr="007D39AD">
              <w:rPr>
                <w:rStyle w:val="Hyperlink"/>
                <w:noProof/>
              </w:rPr>
              <w:t>I. Retained Earnings</w:t>
            </w:r>
            <w:r>
              <w:rPr>
                <w:noProof/>
                <w:webHidden/>
              </w:rPr>
              <w:tab/>
            </w:r>
            <w:r>
              <w:rPr>
                <w:noProof/>
                <w:webHidden/>
              </w:rPr>
              <w:fldChar w:fldCharType="begin"/>
            </w:r>
            <w:r>
              <w:rPr>
                <w:noProof/>
                <w:webHidden/>
              </w:rPr>
              <w:instrText xml:space="preserve"> PAGEREF _Toc197467533 \h </w:instrText>
            </w:r>
            <w:r>
              <w:rPr>
                <w:noProof/>
                <w:webHidden/>
              </w:rPr>
            </w:r>
            <w:r>
              <w:rPr>
                <w:noProof/>
                <w:webHidden/>
              </w:rPr>
              <w:fldChar w:fldCharType="separate"/>
            </w:r>
            <w:r w:rsidR="00F53D5A">
              <w:rPr>
                <w:noProof/>
                <w:webHidden/>
              </w:rPr>
              <w:t>8</w:t>
            </w:r>
            <w:r>
              <w:rPr>
                <w:noProof/>
                <w:webHidden/>
              </w:rPr>
              <w:fldChar w:fldCharType="end"/>
            </w:r>
          </w:hyperlink>
        </w:p>
        <w:p w14:paraId="51B744BF" w14:textId="7A87E4A0" w:rsidR="00AD7F58" w:rsidRDefault="00AD7F58">
          <w:pPr>
            <w:pStyle w:val="TOC2"/>
            <w:tabs>
              <w:tab w:val="right" w:leader="dot" w:pos="9350"/>
            </w:tabs>
            <w:rPr>
              <w:noProof/>
            </w:rPr>
          </w:pPr>
          <w:hyperlink w:anchor="_Toc197467534" w:history="1">
            <w:r w:rsidRPr="007D39AD">
              <w:rPr>
                <w:rStyle w:val="Hyperlink"/>
                <w:noProof/>
              </w:rPr>
              <w:t>III. Long-Term Debt Financing</w:t>
            </w:r>
            <w:r>
              <w:rPr>
                <w:noProof/>
                <w:webHidden/>
              </w:rPr>
              <w:tab/>
            </w:r>
            <w:r>
              <w:rPr>
                <w:noProof/>
                <w:webHidden/>
              </w:rPr>
              <w:fldChar w:fldCharType="begin"/>
            </w:r>
            <w:r>
              <w:rPr>
                <w:noProof/>
                <w:webHidden/>
              </w:rPr>
              <w:instrText xml:space="preserve"> PAGEREF _Toc197467534 \h </w:instrText>
            </w:r>
            <w:r>
              <w:rPr>
                <w:noProof/>
                <w:webHidden/>
              </w:rPr>
            </w:r>
            <w:r>
              <w:rPr>
                <w:noProof/>
                <w:webHidden/>
              </w:rPr>
              <w:fldChar w:fldCharType="separate"/>
            </w:r>
            <w:r w:rsidR="00F53D5A">
              <w:rPr>
                <w:noProof/>
                <w:webHidden/>
              </w:rPr>
              <w:t>8</w:t>
            </w:r>
            <w:r>
              <w:rPr>
                <w:noProof/>
                <w:webHidden/>
              </w:rPr>
              <w:fldChar w:fldCharType="end"/>
            </w:r>
          </w:hyperlink>
        </w:p>
        <w:p w14:paraId="7ED53DEE" w14:textId="19C3FD21" w:rsidR="00AD7F58" w:rsidRDefault="00AD7F58">
          <w:pPr>
            <w:pStyle w:val="TOC2"/>
            <w:tabs>
              <w:tab w:val="right" w:leader="dot" w:pos="9350"/>
            </w:tabs>
            <w:rPr>
              <w:noProof/>
            </w:rPr>
          </w:pPr>
          <w:hyperlink w:anchor="_Toc197467535" w:history="1">
            <w:r w:rsidRPr="007D39AD">
              <w:rPr>
                <w:rStyle w:val="Hyperlink"/>
                <w:noProof/>
              </w:rPr>
              <w:t>II. Equity Financing</w:t>
            </w:r>
            <w:r>
              <w:rPr>
                <w:noProof/>
                <w:webHidden/>
              </w:rPr>
              <w:tab/>
            </w:r>
            <w:r>
              <w:rPr>
                <w:noProof/>
                <w:webHidden/>
              </w:rPr>
              <w:fldChar w:fldCharType="begin"/>
            </w:r>
            <w:r>
              <w:rPr>
                <w:noProof/>
                <w:webHidden/>
              </w:rPr>
              <w:instrText xml:space="preserve"> PAGEREF _Toc197467535 \h </w:instrText>
            </w:r>
            <w:r>
              <w:rPr>
                <w:noProof/>
                <w:webHidden/>
              </w:rPr>
            </w:r>
            <w:r>
              <w:rPr>
                <w:noProof/>
                <w:webHidden/>
              </w:rPr>
              <w:fldChar w:fldCharType="separate"/>
            </w:r>
            <w:r w:rsidR="00F53D5A">
              <w:rPr>
                <w:noProof/>
                <w:webHidden/>
              </w:rPr>
              <w:t>9</w:t>
            </w:r>
            <w:r>
              <w:rPr>
                <w:noProof/>
                <w:webHidden/>
              </w:rPr>
              <w:fldChar w:fldCharType="end"/>
            </w:r>
          </w:hyperlink>
        </w:p>
        <w:p w14:paraId="56EC8288" w14:textId="26FB9E23" w:rsidR="00AD7F58" w:rsidRDefault="00AD7F58">
          <w:r>
            <w:rPr>
              <w:b/>
              <w:bCs/>
              <w:noProof/>
            </w:rPr>
            <w:fldChar w:fldCharType="end"/>
          </w:r>
        </w:p>
      </w:sdtContent>
    </w:sdt>
    <w:p w14:paraId="2526BF49" w14:textId="77777777" w:rsidR="000B620F" w:rsidRPr="00AE1725" w:rsidRDefault="000B620F" w:rsidP="00AD7F58">
      <w:pPr>
        <w:spacing w:line="240" w:lineRule="auto"/>
        <w:rPr>
          <w:rFonts w:asciiTheme="majorHAnsi" w:hAnsiTheme="majorHAnsi" w:cs="Calibri"/>
        </w:rPr>
      </w:pPr>
    </w:p>
    <w:p w14:paraId="37697621" w14:textId="77777777" w:rsidR="000B620F" w:rsidRPr="00AE1725" w:rsidRDefault="000B620F" w:rsidP="00AE1725">
      <w:pPr>
        <w:spacing w:line="240" w:lineRule="auto"/>
        <w:jc w:val="center"/>
        <w:rPr>
          <w:rFonts w:asciiTheme="majorHAnsi" w:hAnsiTheme="majorHAnsi" w:cs="Calibri"/>
        </w:rPr>
      </w:pPr>
    </w:p>
    <w:p w14:paraId="78C2E8F3" w14:textId="77777777" w:rsidR="000B620F" w:rsidRPr="00AE1725" w:rsidRDefault="000B620F" w:rsidP="00AE1725">
      <w:pPr>
        <w:spacing w:line="240" w:lineRule="auto"/>
        <w:jc w:val="center"/>
        <w:rPr>
          <w:rFonts w:asciiTheme="majorHAnsi" w:hAnsiTheme="majorHAnsi" w:cs="Calibri"/>
        </w:rPr>
      </w:pPr>
    </w:p>
    <w:p w14:paraId="1DBD85DA" w14:textId="77777777" w:rsidR="000B620F" w:rsidRPr="00AE1725" w:rsidRDefault="000B620F" w:rsidP="00AE1725">
      <w:pPr>
        <w:spacing w:line="240" w:lineRule="auto"/>
        <w:jc w:val="center"/>
        <w:rPr>
          <w:rFonts w:asciiTheme="majorHAnsi" w:hAnsiTheme="majorHAnsi" w:cs="Calibri"/>
        </w:rPr>
      </w:pPr>
    </w:p>
    <w:p w14:paraId="3640CEE8" w14:textId="77777777" w:rsidR="000B620F" w:rsidRPr="00AE1725" w:rsidRDefault="000B620F" w:rsidP="00AE1725">
      <w:pPr>
        <w:spacing w:line="240" w:lineRule="auto"/>
        <w:jc w:val="center"/>
        <w:rPr>
          <w:rFonts w:asciiTheme="majorHAnsi" w:hAnsiTheme="majorHAnsi" w:cs="Calibri"/>
        </w:rPr>
      </w:pPr>
    </w:p>
    <w:p w14:paraId="3061F415" w14:textId="77777777" w:rsidR="000B620F" w:rsidRPr="00AE1725" w:rsidRDefault="000B620F" w:rsidP="00AE1725">
      <w:pPr>
        <w:spacing w:line="240" w:lineRule="auto"/>
        <w:jc w:val="center"/>
        <w:rPr>
          <w:rFonts w:asciiTheme="majorHAnsi" w:hAnsiTheme="majorHAnsi" w:cs="Calibri"/>
        </w:rPr>
      </w:pPr>
    </w:p>
    <w:p w14:paraId="60D8AA9D" w14:textId="77777777" w:rsidR="00AE1725" w:rsidRPr="00AE1725" w:rsidRDefault="00AE1725" w:rsidP="005462B4">
      <w:pPr>
        <w:spacing w:line="240" w:lineRule="auto"/>
        <w:rPr>
          <w:rFonts w:asciiTheme="majorHAnsi" w:hAnsiTheme="majorHAnsi" w:cs="Calibri"/>
        </w:rPr>
      </w:pPr>
    </w:p>
    <w:p w14:paraId="7CB4BF56" w14:textId="23BAEA6B" w:rsidR="000B620F" w:rsidRPr="00AE1725" w:rsidRDefault="000B620F" w:rsidP="00B8765A">
      <w:pPr>
        <w:pStyle w:val="Heading1"/>
        <w:jc w:val="center"/>
      </w:pPr>
      <w:bookmarkStart w:id="0" w:name="_Toc197467518"/>
      <w:r w:rsidRPr="00AE1725">
        <w:t>Section 1: Company Overview</w:t>
      </w:r>
      <w:bookmarkEnd w:id="0"/>
    </w:p>
    <w:p w14:paraId="5E40681C" w14:textId="77777777" w:rsidR="000B620F" w:rsidRDefault="000B620F" w:rsidP="00AE1725">
      <w:pPr>
        <w:spacing w:line="240" w:lineRule="auto"/>
        <w:rPr>
          <w:rFonts w:asciiTheme="majorHAnsi" w:hAnsiTheme="majorHAnsi" w:cs="Calibri"/>
        </w:rPr>
      </w:pPr>
    </w:p>
    <w:p w14:paraId="2F460B67" w14:textId="7364415F" w:rsidR="005462B4" w:rsidRDefault="005462B4" w:rsidP="00B8765A">
      <w:pPr>
        <w:pStyle w:val="Heading2"/>
        <w:jc w:val="center"/>
      </w:pPr>
      <w:bookmarkStart w:id="1" w:name="_Toc197467519"/>
      <w:r w:rsidRPr="005462B4">
        <w:t>I. Company Background and History</w:t>
      </w:r>
      <w:bookmarkEnd w:id="1"/>
    </w:p>
    <w:p w14:paraId="51D41251" w14:textId="40F11DC1" w:rsidR="005462B4" w:rsidRPr="008E0254" w:rsidRDefault="005462B4" w:rsidP="005462B4">
      <w:pPr>
        <w:spacing w:line="240" w:lineRule="auto"/>
        <w:ind w:firstLine="720"/>
        <w:rPr>
          <w:rFonts w:cs="Calibri"/>
        </w:rPr>
      </w:pPr>
      <w:r w:rsidRPr="008E0254">
        <w:rPr>
          <w:rFonts w:cs="Calibri"/>
        </w:rPr>
        <w:t>Cintas Corporation was</w:t>
      </w:r>
      <w:r w:rsidR="00133023" w:rsidRPr="008E0254">
        <w:rPr>
          <w:rFonts w:cs="Calibri"/>
        </w:rPr>
        <w:t xml:space="preserve"> initially</w:t>
      </w:r>
      <w:r w:rsidRPr="008E0254">
        <w:rPr>
          <w:rFonts w:cs="Calibri"/>
        </w:rPr>
        <w:t xml:space="preserve"> founded in Ohio in 1929 </w:t>
      </w:r>
      <w:proofErr w:type="gramStart"/>
      <w:r w:rsidR="00133023" w:rsidRPr="008E0254">
        <w:rPr>
          <w:rFonts w:cs="Calibri"/>
        </w:rPr>
        <w:t>as a result of</w:t>
      </w:r>
      <w:proofErr w:type="gramEnd"/>
      <w:r w:rsidR="00133023" w:rsidRPr="008E0254">
        <w:rPr>
          <w:rFonts w:cs="Calibri"/>
        </w:rPr>
        <w:t xml:space="preserve"> the United States Great Depression closing the circus that formerly employed the two founders. Doc Farmer and Amelia Farmer saw an opportunity to help factories with their laundry solutions, forging the company’s path down business-to-business operations.</w:t>
      </w:r>
    </w:p>
    <w:p w14:paraId="0FB506A5" w14:textId="118BDCC4" w:rsidR="005462B4" w:rsidRPr="008E0254" w:rsidRDefault="00133023" w:rsidP="00B8765A">
      <w:pPr>
        <w:spacing w:line="240" w:lineRule="auto"/>
        <w:ind w:firstLine="720"/>
        <w:rPr>
          <w:rFonts w:cs="Calibri"/>
        </w:rPr>
      </w:pPr>
      <w:r w:rsidRPr="008E0254">
        <w:rPr>
          <w:rFonts w:cs="Calibri"/>
        </w:rPr>
        <w:t>In 1984, Cintas Corporation became publicly traded on the NASDAQ stock exchange as CTAS and has since grown into a Fortune 500 company.</w:t>
      </w:r>
      <w:r w:rsidR="00B8765A" w:rsidRPr="008E0254">
        <w:rPr>
          <w:rFonts w:cs="Calibri"/>
        </w:rPr>
        <w:t xml:space="preserve"> </w:t>
      </w:r>
    </w:p>
    <w:p w14:paraId="7BB23B2F" w14:textId="77777777" w:rsidR="005462B4" w:rsidRDefault="005462B4" w:rsidP="005462B4">
      <w:pPr>
        <w:spacing w:line="240" w:lineRule="auto"/>
        <w:jc w:val="center"/>
        <w:rPr>
          <w:rFonts w:asciiTheme="majorHAnsi" w:hAnsiTheme="majorHAnsi" w:cs="Calibri"/>
        </w:rPr>
      </w:pPr>
    </w:p>
    <w:p w14:paraId="66C76CE9" w14:textId="5CB33A7E" w:rsidR="005462B4" w:rsidRPr="005462B4" w:rsidRDefault="005462B4" w:rsidP="00B8765A">
      <w:pPr>
        <w:pStyle w:val="Heading2"/>
        <w:jc w:val="center"/>
      </w:pPr>
      <w:bookmarkStart w:id="2" w:name="_Toc197467520"/>
      <w:r>
        <w:t>II. Business Model</w:t>
      </w:r>
      <w:bookmarkEnd w:id="2"/>
    </w:p>
    <w:p w14:paraId="4D432FC3" w14:textId="189AF17D" w:rsidR="00AE1725" w:rsidRPr="008E0254" w:rsidRDefault="00AE1725" w:rsidP="00AE1725">
      <w:pPr>
        <w:spacing w:line="240" w:lineRule="auto"/>
        <w:rPr>
          <w:rFonts w:cs="Calibri"/>
        </w:rPr>
      </w:pPr>
      <w:r w:rsidRPr="008E0254">
        <w:rPr>
          <w:rFonts w:cs="Calibri"/>
        </w:rPr>
        <w:tab/>
        <w:t>Cintas Corporation provide</w:t>
      </w:r>
      <w:r w:rsidR="005462B4" w:rsidRPr="008E0254">
        <w:rPr>
          <w:rFonts w:cs="Calibri"/>
        </w:rPr>
        <w:t>s</w:t>
      </w:r>
      <w:r w:rsidRPr="008E0254">
        <w:rPr>
          <w:rFonts w:cs="Calibri"/>
        </w:rPr>
        <w:t xml:space="preserve"> </w:t>
      </w:r>
      <w:r w:rsidR="005462B4" w:rsidRPr="008E0254">
        <w:rPr>
          <w:rFonts w:cs="Calibri"/>
        </w:rPr>
        <w:t xml:space="preserve">business-to-business </w:t>
      </w:r>
      <w:r w:rsidRPr="008E0254">
        <w:rPr>
          <w:rFonts w:cs="Calibri"/>
        </w:rPr>
        <w:t>services</w:t>
      </w:r>
      <w:r w:rsidR="005462B4" w:rsidRPr="008E0254">
        <w:rPr>
          <w:rFonts w:cs="Calibri"/>
        </w:rPr>
        <w:t xml:space="preserve">, particularly </w:t>
      </w:r>
      <w:r w:rsidRPr="008E0254">
        <w:rPr>
          <w:rFonts w:cs="Calibri"/>
        </w:rPr>
        <w:t>specializ</w:t>
      </w:r>
      <w:r w:rsidR="005462B4" w:rsidRPr="008E0254">
        <w:rPr>
          <w:rFonts w:cs="Calibri"/>
        </w:rPr>
        <w:t>ing</w:t>
      </w:r>
      <w:r w:rsidRPr="008E0254">
        <w:rPr>
          <w:rFonts w:cs="Calibri"/>
        </w:rPr>
        <w:t xml:space="preserve"> in uniform operations, facility servicing, and workplace safety measures. </w:t>
      </w:r>
      <w:r w:rsidR="00B8765A" w:rsidRPr="008E0254">
        <w:rPr>
          <w:rFonts w:cs="Calibri"/>
        </w:rPr>
        <w:t xml:space="preserve">This subscription-like business strategy ensures consistent revenue streams. </w:t>
      </w:r>
      <w:r w:rsidRPr="008E0254">
        <w:rPr>
          <w:rFonts w:cs="Calibri"/>
        </w:rPr>
        <w:t xml:space="preserve">According to Cintas’ mission statement, “We’re inspired by your team, </w:t>
      </w:r>
      <w:r w:rsidR="005462B4" w:rsidRPr="008E0254">
        <w:rPr>
          <w:rFonts w:cs="Calibri"/>
        </w:rPr>
        <w:t>your business, and your customers. We apply that inspiration to delivering the right solutions, products, and services to help you run better than ever”.</w:t>
      </w:r>
    </w:p>
    <w:p w14:paraId="3A38386E" w14:textId="7FCE4070" w:rsidR="005462B4" w:rsidRPr="008E0254" w:rsidRDefault="00B8765A" w:rsidP="00AE1725">
      <w:pPr>
        <w:spacing w:line="240" w:lineRule="auto"/>
        <w:rPr>
          <w:rFonts w:cs="Calibri"/>
        </w:rPr>
      </w:pPr>
      <w:r w:rsidRPr="008E0254">
        <w:rPr>
          <w:rFonts w:cs="Calibri"/>
        </w:rPr>
        <w:tab/>
        <w:t xml:space="preserve">The core of Cintas’ business lies in </w:t>
      </w:r>
      <w:r w:rsidR="00F274AC" w:rsidRPr="008E0254">
        <w:rPr>
          <w:rFonts w:cs="Calibri"/>
        </w:rPr>
        <w:t xml:space="preserve">uniform rentals, which </w:t>
      </w:r>
      <w:proofErr w:type="gramStart"/>
      <w:r w:rsidR="00F274AC" w:rsidRPr="008E0254">
        <w:rPr>
          <w:rFonts w:cs="Calibri"/>
        </w:rPr>
        <w:t>makes</w:t>
      </w:r>
      <w:proofErr w:type="gramEnd"/>
      <w:r w:rsidR="00F274AC" w:rsidRPr="008E0254">
        <w:rPr>
          <w:rFonts w:cs="Calibri"/>
        </w:rPr>
        <w:t xml:space="preserve"> up over 80% of their total revenue, they additionally provide complementary services in first aid equipment, restroom supplies, and fire protection inspections that drive deeper customer connections while further growing profits. </w:t>
      </w:r>
      <w:r w:rsidR="005462B4" w:rsidRPr="008E0254">
        <w:rPr>
          <w:rFonts w:cs="Calibri"/>
        </w:rPr>
        <w:t>Cintas assists more than 1 million customers across the United States and Canada, employing over 46,500 employees in their business</w:t>
      </w:r>
      <w:r w:rsidR="00F274AC" w:rsidRPr="008E0254">
        <w:rPr>
          <w:rFonts w:cs="Calibri"/>
        </w:rPr>
        <w:t xml:space="preserve">, and generating a total revenue of over $1.57 billion. </w:t>
      </w:r>
      <w:r w:rsidR="00A2662B" w:rsidRPr="008E0254">
        <w:rPr>
          <w:rFonts w:cs="Calibri"/>
        </w:rPr>
        <w:t xml:space="preserve">Cintas’ investors page mentions that the company holds a vision to expand their market, increase market share, and penetrate additional customer bases. </w:t>
      </w:r>
    </w:p>
    <w:p w14:paraId="7E0107B4" w14:textId="77777777" w:rsidR="00F274AC" w:rsidRPr="00AE1725" w:rsidRDefault="00F274AC" w:rsidP="00AE1725">
      <w:pPr>
        <w:spacing w:line="240" w:lineRule="auto"/>
        <w:rPr>
          <w:rFonts w:asciiTheme="majorHAnsi" w:hAnsiTheme="majorHAnsi" w:cs="Calibri"/>
        </w:rPr>
      </w:pPr>
    </w:p>
    <w:p w14:paraId="32F7208A" w14:textId="4FD57C0F" w:rsidR="00AE1725" w:rsidRPr="00AE1725" w:rsidRDefault="00F274AC" w:rsidP="00A2662B">
      <w:pPr>
        <w:pStyle w:val="Heading2"/>
        <w:jc w:val="center"/>
      </w:pPr>
      <w:bookmarkStart w:id="3" w:name="_Toc197467521"/>
      <w:r>
        <w:t>III. Major Brands</w:t>
      </w:r>
      <w:bookmarkEnd w:id="3"/>
    </w:p>
    <w:p w14:paraId="72ECDF49" w14:textId="5B3BAC9A" w:rsidR="0049301D" w:rsidRPr="008E0254" w:rsidRDefault="00F274AC" w:rsidP="00F274AC">
      <w:pPr>
        <w:spacing w:line="240" w:lineRule="auto"/>
        <w:rPr>
          <w:rFonts w:cs="Calibri"/>
        </w:rPr>
      </w:pPr>
      <w:r w:rsidRPr="008E0254">
        <w:rPr>
          <w:rFonts w:cs="Calibri"/>
        </w:rPr>
        <w:tab/>
        <w:t xml:space="preserve">Cintas has acquired 14 brands in similar product offerings, </w:t>
      </w:r>
      <w:r w:rsidR="0049301D" w:rsidRPr="008E0254">
        <w:rPr>
          <w:rFonts w:cs="Calibri"/>
        </w:rPr>
        <w:t>the largest of which include Zee Medical which provides first aid and safety supplies, G&amp;K Servies which expands uniform operations, and Acme Uniforms which was a satellite uniform corporation that merged into the broader Cisco services.</w:t>
      </w:r>
    </w:p>
    <w:p w14:paraId="543887C8" w14:textId="77777777" w:rsidR="0049301D" w:rsidRDefault="0049301D" w:rsidP="00F274AC">
      <w:pPr>
        <w:spacing w:line="240" w:lineRule="auto"/>
        <w:rPr>
          <w:rFonts w:asciiTheme="majorHAnsi" w:hAnsiTheme="majorHAnsi" w:cs="Calibri"/>
        </w:rPr>
      </w:pPr>
    </w:p>
    <w:p w14:paraId="690F8C81" w14:textId="620C36BC" w:rsidR="0049301D" w:rsidRDefault="0049301D" w:rsidP="00A2662B">
      <w:pPr>
        <w:pStyle w:val="Heading2"/>
        <w:jc w:val="center"/>
      </w:pPr>
      <w:bookmarkStart w:id="4" w:name="_Toc197467522"/>
      <w:r>
        <w:lastRenderedPageBreak/>
        <w:t>IV. Recent Business Highlights</w:t>
      </w:r>
      <w:bookmarkEnd w:id="4"/>
    </w:p>
    <w:p w14:paraId="5C42C280" w14:textId="14C47DCC" w:rsidR="0049301D" w:rsidRPr="008E0254" w:rsidRDefault="00F30C03" w:rsidP="00F30C03">
      <w:pPr>
        <w:spacing w:line="240" w:lineRule="auto"/>
        <w:rPr>
          <w:rFonts w:cs="Calibri"/>
        </w:rPr>
      </w:pPr>
      <w:r w:rsidRPr="008E0254">
        <w:rPr>
          <w:rFonts w:cs="Calibri"/>
        </w:rPr>
        <w:tab/>
        <w:t xml:space="preserve">In October 2023, Cintas acquired Rental Uniform Services, a relatively small North </w:t>
      </w:r>
      <w:r w:rsidR="005D299D" w:rsidRPr="008E0254">
        <w:rPr>
          <w:rFonts w:cs="Calibri"/>
        </w:rPr>
        <w:t>Carolina-based</w:t>
      </w:r>
      <w:r w:rsidRPr="008E0254">
        <w:rPr>
          <w:rFonts w:cs="Calibri"/>
        </w:rPr>
        <w:t xml:space="preserve"> uniform rental business</w:t>
      </w:r>
      <w:r w:rsidR="005D299D">
        <w:rPr>
          <w:rFonts w:cs="Calibri"/>
        </w:rPr>
        <w:t>.</w:t>
      </w:r>
      <w:r w:rsidRPr="008E0254">
        <w:rPr>
          <w:rFonts w:cs="Calibri"/>
        </w:rPr>
        <w:t xml:space="preserve"> This acquisition widened Cintas’ business operations to include businesses in Carolina adjacent states.</w:t>
      </w:r>
    </w:p>
    <w:p w14:paraId="2231CC99" w14:textId="77777777" w:rsidR="00E260D0" w:rsidRPr="008E0254" w:rsidRDefault="00F30C03" w:rsidP="00F30C03">
      <w:pPr>
        <w:spacing w:line="240" w:lineRule="auto"/>
        <w:rPr>
          <w:rFonts w:cs="Calibri"/>
        </w:rPr>
      </w:pPr>
      <w:r w:rsidRPr="008E0254">
        <w:rPr>
          <w:rFonts w:cs="Calibri"/>
        </w:rPr>
        <w:tab/>
        <w:t xml:space="preserve">Cintas </w:t>
      </w:r>
      <w:r w:rsidR="00E260D0" w:rsidRPr="008E0254">
        <w:rPr>
          <w:rFonts w:cs="Calibri"/>
        </w:rPr>
        <w:t>has had multiple attempts to acquire Unifirst Corporation, the largest and most recent of which offered</w:t>
      </w:r>
      <w:r w:rsidRPr="008E0254">
        <w:rPr>
          <w:rFonts w:cs="Calibri"/>
        </w:rPr>
        <w:t xml:space="preserve"> a $5.3 billion acquisition </w:t>
      </w:r>
      <w:r w:rsidR="00E260D0" w:rsidRPr="008E0254">
        <w:rPr>
          <w:rFonts w:cs="Calibri"/>
        </w:rPr>
        <w:t>price in March of 2025, though UniFirst continues to decline offers.</w:t>
      </w:r>
    </w:p>
    <w:p w14:paraId="751CDA03" w14:textId="499D59D3" w:rsidR="00E260D0" w:rsidRPr="008E0254" w:rsidRDefault="00E260D0" w:rsidP="00F30C03">
      <w:pPr>
        <w:spacing w:line="240" w:lineRule="auto"/>
        <w:rPr>
          <w:rFonts w:cs="Calibri"/>
        </w:rPr>
      </w:pPr>
      <w:r w:rsidRPr="008E0254">
        <w:rPr>
          <w:rFonts w:cs="Calibri"/>
        </w:rPr>
        <w:tab/>
        <w:t xml:space="preserve">The latest Cisco financial reports have been strong, with revenue increasing over 8% over the last year. In July 2024, the company announced a 15.6% increase in quarterly cash dividend and authorized a new $1 billion stock buyback program, showing that the firm holds confidence in their future growth. </w:t>
      </w:r>
    </w:p>
    <w:p w14:paraId="5EA7F92F" w14:textId="37738C48" w:rsidR="00F30C03" w:rsidRDefault="00E260D0" w:rsidP="00A2662B">
      <w:pPr>
        <w:pStyle w:val="Heading2"/>
        <w:jc w:val="center"/>
      </w:pPr>
      <w:bookmarkStart w:id="5" w:name="_Toc197467523"/>
      <w:r>
        <w:t>V. Competitors</w:t>
      </w:r>
      <w:bookmarkEnd w:id="5"/>
    </w:p>
    <w:p w14:paraId="1F3A001C" w14:textId="413F77E7" w:rsidR="00AE1725" w:rsidRDefault="00E260D0" w:rsidP="00B14AF6">
      <w:pPr>
        <w:spacing w:line="240" w:lineRule="auto"/>
        <w:rPr>
          <w:rFonts w:asciiTheme="majorHAnsi" w:hAnsiTheme="majorHAnsi" w:cs="Calibri"/>
        </w:rPr>
      </w:pPr>
      <w:r>
        <w:rPr>
          <w:rFonts w:asciiTheme="majorHAnsi" w:hAnsiTheme="majorHAnsi" w:cs="Calibri"/>
        </w:rPr>
        <w:tab/>
        <w:t xml:space="preserve">Cintas has several prominent competitors in the uniform servicing business. Cintas’ most </w:t>
      </w:r>
      <w:r w:rsidRPr="008E0254">
        <w:rPr>
          <w:rFonts w:cs="Calibri"/>
        </w:rPr>
        <w:t xml:space="preserve">direct competitor is UniFirst Corporation, a uniform rental company worth $3.37 billion. As previously mentioned, Cintas has had multiple acquisition attempts which have all been rejected. Another notable competitor is Aramark, a </w:t>
      </w:r>
      <w:r w:rsidR="00A2662B" w:rsidRPr="008E0254">
        <w:rPr>
          <w:rFonts w:cs="Calibri"/>
        </w:rPr>
        <w:t xml:space="preserve">mostly </w:t>
      </w:r>
      <w:r w:rsidRPr="008E0254">
        <w:rPr>
          <w:rFonts w:cs="Calibri"/>
        </w:rPr>
        <w:t xml:space="preserve">food services company that </w:t>
      </w:r>
      <w:r w:rsidR="00A2662B" w:rsidRPr="008E0254">
        <w:rPr>
          <w:rFonts w:cs="Calibri"/>
        </w:rPr>
        <w:t xml:space="preserve">additionally provides some uniform solutions, </w:t>
      </w:r>
      <w:r w:rsidRPr="008E0254">
        <w:rPr>
          <w:rFonts w:cs="Calibri"/>
        </w:rPr>
        <w:t>worth $9.98 billion</w:t>
      </w:r>
      <w:r w:rsidR="00A2662B" w:rsidRPr="008E0254">
        <w:rPr>
          <w:rFonts w:cs="Calibri"/>
        </w:rPr>
        <w:t>. The last major Cintas competitor is Alsco, a non-public uniform servicing company which saw an annual income of $5 in 2024.</w:t>
      </w:r>
      <w:r w:rsidR="008E0254">
        <w:rPr>
          <w:rFonts w:cs="Calibri"/>
        </w:rPr>
        <w:br/>
      </w:r>
      <w:r w:rsidR="008E0254">
        <w:rPr>
          <w:rFonts w:cs="Calibri"/>
        </w:rPr>
        <w:br/>
      </w:r>
      <w:r w:rsidR="008E0254">
        <w:rPr>
          <w:rFonts w:cs="Calibri"/>
        </w:rPr>
        <w:br/>
      </w:r>
      <w:r w:rsidR="008E0254">
        <w:rPr>
          <w:rFonts w:cs="Calibri"/>
        </w:rPr>
        <w:br/>
      </w:r>
      <w:r w:rsidR="008E0254">
        <w:rPr>
          <w:rFonts w:cs="Calibri"/>
        </w:rPr>
        <w:br/>
      </w:r>
      <w:r w:rsidR="008E0254">
        <w:rPr>
          <w:rFonts w:cs="Calibri"/>
        </w:rPr>
        <w:br/>
      </w:r>
    </w:p>
    <w:p w14:paraId="208EF50A" w14:textId="77777777" w:rsidR="005D299D" w:rsidRDefault="005D299D" w:rsidP="00B14AF6">
      <w:pPr>
        <w:spacing w:line="240" w:lineRule="auto"/>
        <w:rPr>
          <w:rFonts w:asciiTheme="majorHAnsi" w:hAnsiTheme="majorHAnsi" w:cs="Calibri"/>
        </w:rPr>
      </w:pPr>
    </w:p>
    <w:p w14:paraId="752976F5" w14:textId="77777777" w:rsidR="005D299D" w:rsidRDefault="005D299D" w:rsidP="00B14AF6">
      <w:pPr>
        <w:spacing w:line="240" w:lineRule="auto"/>
        <w:rPr>
          <w:rFonts w:asciiTheme="majorHAnsi" w:hAnsiTheme="majorHAnsi" w:cs="Calibri"/>
        </w:rPr>
      </w:pPr>
    </w:p>
    <w:p w14:paraId="4093A962" w14:textId="77777777" w:rsidR="005D299D" w:rsidRDefault="005D299D" w:rsidP="00B14AF6">
      <w:pPr>
        <w:spacing w:line="240" w:lineRule="auto"/>
        <w:rPr>
          <w:rFonts w:asciiTheme="majorHAnsi" w:hAnsiTheme="majorHAnsi" w:cs="Calibri"/>
        </w:rPr>
      </w:pPr>
    </w:p>
    <w:p w14:paraId="0919543C" w14:textId="77777777" w:rsidR="005D299D" w:rsidRDefault="005D299D" w:rsidP="00B14AF6">
      <w:pPr>
        <w:spacing w:line="240" w:lineRule="auto"/>
        <w:rPr>
          <w:rFonts w:asciiTheme="majorHAnsi" w:hAnsiTheme="majorHAnsi" w:cs="Calibri"/>
        </w:rPr>
      </w:pPr>
    </w:p>
    <w:p w14:paraId="6D6CC53F" w14:textId="77777777" w:rsidR="005D299D" w:rsidRDefault="005D299D" w:rsidP="00B14AF6">
      <w:pPr>
        <w:spacing w:line="240" w:lineRule="auto"/>
        <w:rPr>
          <w:rFonts w:asciiTheme="majorHAnsi" w:hAnsiTheme="majorHAnsi" w:cs="Calibri"/>
        </w:rPr>
      </w:pPr>
    </w:p>
    <w:p w14:paraId="203A1499" w14:textId="77777777" w:rsidR="005D299D" w:rsidRPr="00AE1725" w:rsidRDefault="005D299D" w:rsidP="00B14AF6">
      <w:pPr>
        <w:spacing w:line="240" w:lineRule="auto"/>
        <w:rPr>
          <w:rFonts w:asciiTheme="majorHAnsi" w:hAnsiTheme="majorHAnsi" w:cs="Calibri"/>
        </w:rPr>
      </w:pPr>
    </w:p>
    <w:p w14:paraId="30577433" w14:textId="490D67BE" w:rsidR="00B14AF6" w:rsidRDefault="000B620F" w:rsidP="00B14AF6">
      <w:pPr>
        <w:pStyle w:val="Heading1"/>
        <w:jc w:val="center"/>
        <w:rPr>
          <w:rStyle w:val="Heading2Char"/>
        </w:rPr>
      </w:pPr>
      <w:bookmarkStart w:id="6" w:name="_Toc197467524"/>
      <w:r w:rsidRPr="00AE1725">
        <w:lastRenderedPageBreak/>
        <w:t>Section 2: Recent Financial Performance</w:t>
      </w:r>
      <w:bookmarkEnd w:id="6"/>
    </w:p>
    <w:p w14:paraId="31F96EBD" w14:textId="3FA8583F" w:rsidR="00C46D44" w:rsidRPr="00C46D44" w:rsidRDefault="00C46D44" w:rsidP="00C46D44">
      <w:pPr>
        <w:pStyle w:val="Heading2"/>
        <w:numPr>
          <w:ilvl w:val="0"/>
          <w:numId w:val="7"/>
        </w:numPr>
        <w:jc w:val="center"/>
      </w:pPr>
      <w:bookmarkStart w:id="7" w:name="_Toc197467525"/>
      <w:r>
        <w:t>Sales and Profitability Metrics</w:t>
      </w:r>
      <w:bookmarkEnd w:id="7"/>
    </w:p>
    <w:tbl>
      <w:tblPr>
        <w:tblStyle w:val="TableGrid"/>
        <w:tblW w:w="0" w:type="auto"/>
        <w:tblInd w:w="936" w:type="dxa"/>
        <w:tblLook w:val="04A0" w:firstRow="1" w:lastRow="0" w:firstColumn="1" w:lastColumn="0" w:noHBand="0" w:noVBand="1"/>
      </w:tblPr>
      <w:tblGrid>
        <w:gridCol w:w="1870"/>
        <w:gridCol w:w="1870"/>
        <w:gridCol w:w="1870"/>
        <w:gridCol w:w="1870"/>
      </w:tblGrid>
      <w:tr w:rsidR="001C4189" w14:paraId="5700EDAD" w14:textId="77777777" w:rsidTr="00B14AF6">
        <w:tc>
          <w:tcPr>
            <w:tcW w:w="1870" w:type="dxa"/>
          </w:tcPr>
          <w:p w14:paraId="1D91DA67" w14:textId="2574F029" w:rsidR="001C4189" w:rsidRPr="008E0254" w:rsidRDefault="001C4189" w:rsidP="00C46D44">
            <w:pPr>
              <w:jc w:val="center"/>
            </w:pPr>
            <w:r w:rsidRPr="008E0254">
              <w:t>Sales and Profitability</w:t>
            </w:r>
          </w:p>
        </w:tc>
        <w:tc>
          <w:tcPr>
            <w:tcW w:w="1870" w:type="dxa"/>
          </w:tcPr>
          <w:p w14:paraId="7F7451E5" w14:textId="2FB43638" w:rsidR="001C4189" w:rsidRPr="008E0254" w:rsidRDefault="001C4189" w:rsidP="001C4189">
            <w:pPr>
              <w:jc w:val="center"/>
            </w:pPr>
            <w:r w:rsidRPr="008E0254">
              <w:t>Fiscal Year 2024</w:t>
            </w:r>
          </w:p>
        </w:tc>
        <w:tc>
          <w:tcPr>
            <w:tcW w:w="1870" w:type="dxa"/>
          </w:tcPr>
          <w:p w14:paraId="2C76AC0A" w14:textId="62A8EAFA" w:rsidR="001C4189" w:rsidRPr="008E0254" w:rsidRDefault="001C4189" w:rsidP="001C4189">
            <w:pPr>
              <w:jc w:val="center"/>
            </w:pPr>
            <w:r w:rsidRPr="008E0254">
              <w:t>Fiscal Year 2023</w:t>
            </w:r>
          </w:p>
        </w:tc>
        <w:tc>
          <w:tcPr>
            <w:tcW w:w="1870" w:type="dxa"/>
          </w:tcPr>
          <w:p w14:paraId="5FB2BA32" w14:textId="708FE0CA" w:rsidR="001C4189" w:rsidRPr="008E0254" w:rsidRDefault="001C4189" w:rsidP="001C4189">
            <w:pPr>
              <w:jc w:val="center"/>
            </w:pPr>
            <w:r w:rsidRPr="008E0254">
              <w:t>Fiscal Year 2022</w:t>
            </w:r>
          </w:p>
        </w:tc>
      </w:tr>
      <w:tr w:rsidR="001C4189" w14:paraId="3B9B5F1D" w14:textId="77777777" w:rsidTr="008E0254">
        <w:trPr>
          <w:trHeight w:val="404"/>
        </w:trPr>
        <w:tc>
          <w:tcPr>
            <w:tcW w:w="1870" w:type="dxa"/>
          </w:tcPr>
          <w:p w14:paraId="59AAE528" w14:textId="4554BBF7" w:rsidR="001C4189" w:rsidRPr="008E0254" w:rsidRDefault="001C4189" w:rsidP="001C4189">
            <w:pPr>
              <w:jc w:val="center"/>
            </w:pPr>
            <w:r w:rsidRPr="008E0254">
              <w:t>Revenue</w:t>
            </w:r>
          </w:p>
        </w:tc>
        <w:tc>
          <w:tcPr>
            <w:tcW w:w="1870" w:type="dxa"/>
          </w:tcPr>
          <w:p w14:paraId="5C362765" w14:textId="77777777" w:rsidR="001C4189" w:rsidRPr="008E0254" w:rsidRDefault="001C4189" w:rsidP="001C4189">
            <w:pPr>
              <w:jc w:val="center"/>
              <w:rPr>
                <w:color w:val="000000"/>
              </w:rPr>
            </w:pPr>
            <w:r w:rsidRPr="008E0254">
              <w:rPr>
                <w:color w:val="000000"/>
              </w:rPr>
              <w:t xml:space="preserve">$9,596,615 </w:t>
            </w:r>
          </w:p>
          <w:p w14:paraId="0C260B2C" w14:textId="649E3A7A" w:rsidR="001C4189" w:rsidRPr="008E0254" w:rsidRDefault="001C4189" w:rsidP="001C4189">
            <w:pPr>
              <w:jc w:val="center"/>
            </w:pPr>
          </w:p>
        </w:tc>
        <w:tc>
          <w:tcPr>
            <w:tcW w:w="1870" w:type="dxa"/>
          </w:tcPr>
          <w:p w14:paraId="5CAEFAC4" w14:textId="77777777" w:rsidR="001C4189" w:rsidRPr="008E0254" w:rsidRDefault="001C4189" w:rsidP="001C4189">
            <w:pPr>
              <w:jc w:val="center"/>
              <w:rPr>
                <w:color w:val="000000"/>
              </w:rPr>
            </w:pPr>
            <w:r w:rsidRPr="008E0254">
              <w:rPr>
                <w:color w:val="000000"/>
              </w:rPr>
              <w:t xml:space="preserve">$8,815,769 </w:t>
            </w:r>
          </w:p>
          <w:p w14:paraId="2A875015" w14:textId="77777777" w:rsidR="001C4189" w:rsidRPr="008E0254" w:rsidRDefault="001C4189" w:rsidP="001C4189">
            <w:pPr>
              <w:jc w:val="center"/>
            </w:pPr>
          </w:p>
        </w:tc>
        <w:tc>
          <w:tcPr>
            <w:tcW w:w="1870" w:type="dxa"/>
          </w:tcPr>
          <w:p w14:paraId="2DD396A4" w14:textId="77777777" w:rsidR="001C4189" w:rsidRPr="008E0254" w:rsidRDefault="001C4189" w:rsidP="001C4189">
            <w:pPr>
              <w:jc w:val="center"/>
              <w:rPr>
                <w:color w:val="000000"/>
              </w:rPr>
            </w:pPr>
            <w:r w:rsidRPr="008E0254">
              <w:rPr>
                <w:color w:val="000000"/>
              </w:rPr>
              <w:t xml:space="preserve">$7,854,459 </w:t>
            </w:r>
          </w:p>
          <w:p w14:paraId="2417F8D7" w14:textId="77777777" w:rsidR="001C4189" w:rsidRPr="008E0254" w:rsidRDefault="001C4189" w:rsidP="001C4189">
            <w:pPr>
              <w:jc w:val="center"/>
            </w:pPr>
          </w:p>
        </w:tc>
      </w:tr>
      <w:tr w:rsidR="001C4189" w14:paraId="195AA7F4" w14:textId="77777777" w:rsidTr="00B14AF6">
        <w:tc>
          <w:tcPr>
            <w:tcW w:w="1870" w:type="dxa"/>
          </w:tcPr>
          <w:p w14:paraId="529CABB5" w14:textId="63C183FC" w:rsidR="001C4189" w:rsidRPr="008E0254" w:rsidRDefault="001C4189" w:rsidP="001C4189">
            <w:pPr>
              <w:jc w:val="center"/>
            </w:pPr>
            <w:r w:rsidRPr="008E0254">
              <w:t>Percent change in Revenue</w:t>
            </w:r>
          </w:p>
        </w:tc>
        <w:tc>
          <w:tcPr>
            <w:tcW w:w="1870" w:type="dxa"/>
          </w:tcPr>
          <w:p w14:paraId="32F22819" w14:textId="77777777" w:rsidR="003D3978" w:rsidRPr="008E0254" w:rsidRDefault="003D3978" w:rsidP="003D3978">
            <w:pPr>
              <w:jc w:val="center"/>
              <w:rPr>
                <w:color w:val="000000"/>
              </w:rPr>
            </w:pPr>
            <w:r w:rsidRPr="008E0254">
              <w:rPr>
                <w:color w:val="000000"/>
              </w:rPr>
              <w:t>8.86%</w:t>
            </w:r>
          </w:p>
          <w:p w14:paraId="5F74263A" w14:textId="77777777" w:rsidR="001C4189" w:rsidRPr="008E0254" w:rsidRDefault="001C4189" w:rsidP="001C4189">
            <w:pPr>
              <w:jc w:val="center"/>
            </w:pPr>
          </w:p>
        </w:tc>
        <w:tc>
          <w:tcPr>
            <w:tcW w:w="1870" w:type="dxa"/>
          </w:tcPr>
          <w:p w14:paraId="165DF42D" w14:textId="77777777" w:rsidR="003D3978" w:rsidRPr="008E0254" w:rsidRDefault="003D3978" w:rsidP="003D3978">
            <w:pPr>
              <w:jc w:val="center"/>
              <w:rPr>
                <w:color w:val="000000"/>
              </w:rPr>
            </w:pPr>
            <w:r w:rsidRPr="008E0254">
              <w:rPr>
                <w:color w:val="000000"/>
              </w:rPr>
              <w:t>12.24%</w:t>
            </w:r>
          </w:p>
          <w:p w14:paraId="05EB795B" w14:textId="77777777" w:rsidR="001C4189" w:rsidRPr="008E0254" w:rsidRDefault="001C4189" w:rsidP="001C4189">
            <w:pPr>
              <w:jc w:val="center"/>
            </w:pPr>
          </w:p>
        </w:tc>
        <w:tc>
          <w:tcPr>
            <w:tcW w:w="1870" w:type="dxa"/>
          </w:tcPr>
          <w:p w14:paraId="14D52C67" w14:textId="77777777" w:rsidR="003D3978" w:rsidRPr="008E0254" w:rsidRDefault="003D3978" w:rsidP="003D3978">
            <w:pPr>
              <w:jc w:val="center"/>
              <w:rPr>
                <w:color w:val="000000"/>
              </w:rPr>
            </w:pPr>
            <w:r w:rsidRPr="008E0254">
              <w:rPr>
                <w:color w:val="000000"/>
              </w:rPr>
              <w:t>10.37%</w:t>
            </w:r>
          </w:p>
          <w:p w14:paraId="359B5C52" w14:textId="77777777" w:rsidR="001C4189" w:rsidRPr="008E0254" w:rsidRDefault="001C4189" w:rsidP="001C4189">
            <w:pPr>
              <w:jc w:val="center"/>
            </w:pPr>
          </w:p>
        </w:tc>
      </w:tr>
      <w:tr w:rsidR="001C4189" w14:paraId="575B074D" w14:textId="77777777" w:rsidTr="00B14AF6">
        <w:tc>
          <w:tcPr>
            <w:tcW w:w="1870" w:type="dxa"/>
          </w:tcPr>
          <w:p w14:paraId="45E9EAB2" w14:textId="21DD06F7" w:rsidR="001C4189" w:rsidRPr="008E0254" w:rsidRDefault="001C4189" w:rsidP="001C4189">
            <w:pPr>
              <w:jc w:val="center"/>
            </w:pPr>
            <w:r w:rsidRPr="008E0254">
              <w:t>Gross Profit Margin</w:t>
            </w:r>
          </w:p>
        </w:tc>
        <w:tc>
          <w:tcPr>
            <w:tcW w:w="1870" w:type="dxa"/>
          </w:tcPr>
          <w:p w14:paraId="26B33A27" w14:textId="77777777" w:rsidR="001C4189" w:rsidRPr="008E0254" w:rsidRDefault="001C4189" w:rsidP="001C4189">
            <w:pPr>
              <w:jc w:val="center"/>
              <w:rPr>
                <w:color w:val="000000"/>
              </w:rPr>
            </w:pPr>
            <w:r w:rsidRPr="008E0254">
              <w:rPr>
                <w:color w:val="000000"/>
              </w:rPr>
              <w:t xml:space="preserve">$4,686,416 </w:t>
            </w:r>
          </w:p>
          <w:p w14:paraId="39DD8B34" w14:textId="77777777" w:rsidR="001C4189" w:rsidRPr="008E0254" w:rsidRDefault="001C4189" w:rsidP="001C4189">
            <w:pPr>
              <w:jc w:val="center"/>
            </w:pPr>
          </w:p>
        </w:tc>
        <w:tc>
          <w:tcPr>
            <w:tcW w:w="1870" w:type="dxa"/>
          </w:tcPr>
          <w:p w14:paraId="1D0021EF" w14:textId="77777777" w:rsidR="001C4189" w:rsidRPr="008E0254" w:rsidRDefault="001C4189" w:rsidP="001C4189">
            <w:pPr>
              <w:jc w:val="center"/>
              <w:rPr>
                <w:color w:val="000000"/>
              </w:rPr>
            </w:pPr>
            <w:r w:rsidRPr="008E0254">
              <w:rPr>
                <w:color w:val="000000"/>
              </w:rPr>
              <w:t xml:space="preserve">$4,173,368 </w:t>
            </w:r>
          </w:p>
          <w:p w14:paraId="033209E2" w14:textId="77777777" w:rsidR="001C4189" w:rsidRPr="008E0254" w:rsidRDefault="001C4189" w:rsidP="001C4189">
            <w:pPr>
              <w:jc w:val="center"/>
            </w:pPr>
          </w:p>
        </w:tc>
        <w:tc>
          <w:tcPr>
            <w:tcW w:w="1870" w:type="dxa"/>
          </w:tcPr>
          <w:p w14:paraId="4C8A7A89" w14:textId="77777777" w:rsidR="001C4189" w:rsidRPr="008E0254" w:rsidRDefault="001C4189" w:rsidP="001C4189">
            <w:pPr>
              <w:jc w:val="center"/>
              <w:rPr>
                <w:color w:val="000000"/>
              </w:rPr>
            </w:pPr>
            <w:r w:rsidRPr="008E0254">
              <w:rPr>
                <w:color w:val="000000"/>
              </w:rPr>
              <w:t xml:space="preserve">$3,632,246 </w:t>
            </w:r>
          </w:p>
          <w:p w14:paraId="31B1DB39" w14:textId="77777777" w:rsidR="001C4189" w:rsidRPr="008E0254" w:rsidRDefault="001C4189" w:rsidP="001C4189">
            <w:pPr>
              <w:jc w:val="center"/>
            </w:pPr>
          </w:p>
        </w:tc>
      </w:tr>
      <w:tr w:rsidR="001C4189" w14:paraId="41C5AE63" w14:textId="77777777" w:rsidTr="00B14AF6">
        <w:tc>
          <w:tcPr>
            <w:tcW w:w="1870" w:type="dxa"/>
          </w:tcPr>
          <w:p w14:paraId="5A33F15C" w14:textId="1B306476" w:rsidR="001C4189" w:rsidRPr="008E0254" w:rsidRDefault="001C4189" w:rsidP="001C4189">
            <w:pPr>
              <w:jc w:val="center"/>
            </w:pPr>
            <w:r w:rsidRPr="008E0254">
              <w:t>Operating Margin</w:t>
            </w:r>
          </w:p>
        </w:tc>
        <w:tc>
          <w:tcPr>
            <w:tcW w:w="1870" w:type="dxa"/>
          </w:tcPr>
          <w:p w14:paraId="597FAB10" w14:textId="77777777" w:rsidR="001C4189" w:rsidRPr="008E0254" w:rsidRDefault="001C4189" w:rsidP="001C4189">
            <w:pPr>
              <w:jc w:val="center"/>
              <w:rPr>
                <w:color w:val="000000"/>
              </w:rPr>
            </w:pPr>
            <w:r w:rsidRPr="008E0254">
              <w:rPr>
                <w:color w:val="000000"/>
              </w:rPr>
              <w:t>21.56%</w:t>
            </w:r>
          </w:p>
          <w:p w14:paraId="15BF2ED7" w14:textId="77777777" w:rsidR="001C4189" w:rsidRPr="008E0254" w:rsidRDefault="001C4189" w:rsidP="001C4189">
            <w:pPr>
              <w:jc w:val="center"/>
            </w:pPr>
          </w:p>
        </w:tc>
        <w:tc>
          <w:tcPr>
            <w:tcW w:w="1870" w:type="dxa"/>
          </w:tcPr>
          <w:p w14:paraId="29E050BF" w14:textId="77777777" w:rsidR="001C4189" w:rsidRPr="008E0254" w:rsidRDefault="001C4189" w:rsidP="001C4189">
            <w:pPr>
              <w:jc w:val="center"/>
              <w:rPr>
                <w:color w:val="000000"/>
              </w:rPr>
            </w:pPr>
            <w:r w:rsidRPr="008E0254">
              <w:rPr>
                <w:color w:val="000000"/>
              </w:rPr>
              <w:t>20.45%</w:t>
            </w:r>
          </w:p>
          <w:p w14:paraId="6274AE78" w14:textId="77777777" w:rsidR="001C4189" w:rsidRPr="008E0254" w:rsidRDefault="001C4189" w:rsidP="001C4189">
            <w:pPr>
              <w:jc w:val="center"/>
            </w:pPr>
          </w:p>
        </w:tc>
        <w:tc>
          <w:tcPr>
            <w:tcW w:w="1870" w:type="dxa"/>
          </w:tcPr>
          <w:p w14:paraId="5E8FE768" w14:textId="77777777" w:rsidR="001C4189" w:rsidRPr="008E0254" w:rsidRDefault="001C4189" w:rsidP="001C4189">
            <w:pPr>
              <w:jc w:val="center"/>
              <w:rPr>
                <w:color w:val="000000"/>
              </w:rPr>
            </w:pPr>
            <w:r w:rsidRPr="008E0254">
              <w:rPr>
                <w:color w:val="000000"/>
              </w:rPr>
              <w:t>20.21%</w:t>
            </w:r>
          </w:p>
          <w:p w14:paraId="31560C8F" w14:textId="77777777" w:rsidR="001C4189" w:rsidRPr="008E0254" w:rsidRDefault="001C4189" w:rsidP="001C4189">
            <w:pPr>
              <w:jc w:val="center"/>
            </w:pPr>
          </w:p>
        </w:tc>
      </w:tr>
      <w:tr w:rsidR="001C4189" w14:paraId="551F5DF6" w14:textId="77777777" w:rsidTr="00B14AF6">
        <w:tc>
          <w:tcPr>
            <w:tcW w:w="1870" w:type="dxa"/>
          </w:tcPr>
          <w:p w14:paraId="57BFDFCF" w14:textId="3615AF81" w:rsidR="001C4189" w:rsidRPr="008E0254" w:rsidRDefault="001C4189" w:rsidP="001C4189">
            <w:pPr>
              <w:jc w:val="center"/>
            </w:pPr>
            <w:r w:rsidRPr="008E0254">
              <w:t>Net Profit Margin</w:t>
            </w:r>
          </w:p>
        </w:tc>
        <w:tc>
          <w:tcPr>
            <w:tcW w:w="1870" w:type="dxa"/>
          </w:tcPr>
          <w:p w14:paraId="57FF0E5F" w14:textId="77777777" w:rsidR="001C4189" w:rsidRPr="008E0254" w:rsidRDefault="001C4189" w:rsidP="001C4189">
            <w:pPr>
              <w:jc w:val="center"/>
              <w:rPr>
                <w:color w:val="000000"/>
              </w:rPr>
            </w:pPr>
            <w:r w:rsidRPr="008E0254">
              <w:rPr>
                <w:color w:val="000000"/>
              </w:rPr>
              <w:t>16.38%</w:t>
            </w:r>
          </w:p>
          <w:p w14:paraId="76F9EBDA" w14:textId="77777777" w:rsidR="001C4189" w:rsidRPr="008E0254" w:rsidRDefault="001C4189" w:rsidP="001C4189">
            <w:pPr>
              <w:jc w:val="center"/>
            </w:pPr>
          </w:p>
        </w:tc>
        <w:tc>
          <w:tcPr>
            <w:tcW w:w="1870" w:type="dxa"/>
          </w:tcPr>
          <w:p w14:paraId="73F76B43" w14:textId="77777777" w:rsidR="001C4189" w:rsidRPr="008E0254" w:rsidRDefault="001C4189" w:rsidP="001C4189">
            <w:pPr>
              <w:jc w:val="center"/>
              <w:rPr>
                <w:color w:val="000000"/>
              </w:rPr>
            </w:pPr>
            <w:r w:rsidRPr="008E0254">
              <w:rPr>
                <w:color w:val="000000"/>
              </w:rPr>
              <w:t>15.29%</w:t>
            </w:r>
          </w:p>
          <w:p w14:paraId="6CD9FA5C" w14:textId="77777777" w:rsidR="001C4189" w:rsidRPr="008E0254" w:rsidRDefault="001C4189" w:rsidP="001C4189">
            <w:pPr>
              <w:jc w:val="center"/>
            </w:pPr>
          </w:p>
        </w:tc>
        <w:tc>
          <w:tcPr>
            <w:tcW w:w="1870" w:type="dxa"/>
          </w:tcPr>
          <w:p w14:paraId="02F158D4" w14:textId="77777777" w:rsidR="001C4189" w:rsidRPr="008E0254" w:rsidRDefault="001C4189" w:rsidP="001C4189">
            <w:pPr>
              <w:jc w:val="center"/>
              <w:rPr>
                <w:color w:val="000000"/>
              </w:rPr>
            </w:pPr>
            <w:r w:rsidRPr="008E0254">
              <w:rPr>
                <w:color w:val="000000"/>
              </w:rPr>
              <w:t>15.73%</w:t>
            </w:r>
          </w:p>
          <w:p w14:paraId="0166987B" w14:textId="77777777" w:rsidR="001C4189" w:rsidRPr="008E0254" w:rsidRDefault="001C4189" w:rsidP="001C4189">
            <w:pPr>
              <w:jc w:val="center"/>
            </w:pPr>
          </w:p>
        </w:tc>
      </w:tr>
      <w:tr w:rsidR="001C4189" w14:paraId="6B49DF7F" w14:textId="77777777" w:rsidTr="00B14AF6">
        <w:tc>
          <w:tcPr>
            <w:tcW w:w="1870" w:type="dxa"/>
          </w:tcPr>
          <w:p w14:paraId="0CBF63C4" w14:textId="5F221BEA" w:rsidR="001C4189" w:rsidRPr="008E0254" w:rsidRDefault="001C4189" w:rsidP="001C4189">
            <w:pPr>
              <w:jc w:val="center"/>
            </w:pPr>
            <w:r w:rsidRPr="008E0254">
              <w:t>Total Asset Turnover Ratio</w:t>
            </w:r>
          </w:p>
        </w:tc>
        <w:tc>
          <w:tcPr>
            <w:tcW w:w="1870" w:type="dxa"/>
          </w:tcPr>
          <w:p w14:paraId="68F8AF1B" w14:textId="77777777" w:rsidR="001C4189" w:rsidRPr="008E0254" w:rsidRDefault="001C4189" w:rsidP="001C4189">
            <w:pPr>
              <w:jc w:val="center"/>
              <w:rPr>
                <w:color w:val="000000"/>
              </w:rPr>
            </w:pPr>
            <w:r w:rsidRPr="008E0254">
              <w:rPr>
                <w:color w:val="000000"/>
              </w:rPr>
              <w:t>1.05</w:t>
            </w:r>
          </w:p>
          <w:p w14:paraId="25631F8F" w14:textId="77777777" w:rsidR="001C4189" w:rsidRPr="008E0254" w:rsidRDefault="001C4189" w:rsidP="001C4189">
            <w:pPr>
              <w:jc w:val="center"/>
            </w:pPr>
          </w:p>
        </w:tc>
        <w:tc>
          <w:tcPr>
            <w:tcW w:w="1870" w:type="dxa"/>
          </w:tcPr>
          <w:p w14:paraId="5E3289AB" w14:textId="77777777" w:rsidR="001C4189" w:rsidRPr="008E0254" w:rsidRDefault="001C4189" w:rsidP="001C4189">
            <w:pPr>
              <w:jc w:val="center"/>
              <w:rPr>
                <w:color w:val="000000"/>
              </w:rPr>
            </w:pPr>
            <w:r w:rsidRPr="008E0254">
              <w:rPr>
                <w:color w:val="000000"/>
              </w:rPr>
              <w:t>1.03</w:t>
            </w:r>
          </w:p>
          <w:p w14:paraId="66BE841E" w14:textId="77777777" w:rsidR="001C4189" w:rsidRPr="008E0254" w:rsidRDefault="001C4189" w:rsidP="001C4189">
            <w:pPr>
              <w:jc w:val="center"/>
            </w:pPr>
          </w:p>
        </w:tc>
        <w:tc>
          <w:tcPr>
            <w:tcW w:w="1870" w:type="dxa"/>
          </w:tcPr>
          <w:p w14:paraId="26DFB312" w14:textId="77777777" w:rsidR="001C4189" w:rsidRPr="008E0254" w:rsidRDefault="001C4189" w:rsidP="001C4189">
            <w:pPr>
              <w:jc w:val="center"/>
              <w:rPr>
                <w:color w:val="000000"/>
              </w:rPr>
            </w:pPr>
            <w:r w:rsidRPr="008E0254">
              <w:rPr>
                <w:color w:val="000000"/>
              </w:rPr>
              <w:t>0.96</w:t>
            </w:r>
          </w:p>
          <w:p w14:paraId="35DF6491" w14:textId="77777777" w:rsidR="001C4189" w:rsidRPr="008E0254" w:rsidRDefault="001C4189" w:rsidP="001C4189">
            <w:pPr>
              <w:jc w:val="center"/>
            </w:pPr>
          </w:p>
        </w:tc>
      </w:tr>
      <w:tr w:rsidR="001C4189" w14:paraId="471901DA" w14:textId="77777777" w:rsidTr="00B14AF6">
        <w:tc>
          <w:tcPr>
            <w:tcW w:w="1870" w:type="dxa"/>
          </w:tcPr>
          <w:p w14:paraId="1995A1BD" w14:textId="1A4380B4" w:rsidR="001C4189" w:rsidRPr="008E0254" w:rsidRDefault="001C4189" w:rsidP="001C4189">
            <w:pPr>
              <w:jc w:val="center"/>
            </w:pPr>
            <w:r w:rsidRPr="008E0254">
              <w:t>Percent Return on Assets</w:t>
            </w:r>
          </w:p>
        </w:tc>
        <w:tc>
          <w:tcPr>
            <w:tcW w:w="1870" w:type="dxa"/>
          </w:tcPr>
          <w:p w14:paraId="720710F4" w14:textId="77777777" w:rsidR="001C4189" w:rsidRPr="008E0254" w:rsidRDefault="001C4189" w:rsidP="001C4189">
            <w:pPr>
              <w:jc w:val="center"/>
              <w:rPr>
                <w:color w:val="000000"/>
              </w:rPr>
            </w:pPr>
            <w:r w:rsidRPr="008E0254">
              <w:rPr>
                <w:color w:val="000000"/>
              </w:rPr>
              <w:t>17.14%</w:t>
            </w:r>
          </w:p>
          <w:p w14:paraId="1C6A89F5" w14:textId="77777777" w:rsidR="001C4189" w:rsidRPr="008E0254" w:rsidRDefault="001C4189" w:rsidP="001C4189">
            <w:pPr>
              <w:jc w:val="center"/>
            </w:pPr>
          </w:p>
        </w:tc>
        <w:tc>
          <w:tcPr>
            <w:tcW w:w="1870" w:type="dxa"/>
          </w:tcPr>
          <w:p w14:paraId="3F5465EE" w14:textId="77777777" w:rsidR="001C4189" w:rsidRPr="008E0254" w:rsidRDefault="001C4189" w:rsidP="001C4189">
            <w:pPr>
              <w:jc w:val="center"/>
              <w:rPr>
                <w:color w:val="000000"/>
              </w:rPr>
            </w:pPr>
            <w:r w:rsidRPr="008E0254">
              <w:rPr>
                <w:color w:val="000000"/>
              </w:rPr>
              <w:t>15.77%</w:t>
            </w:r>
          </w:p>
          <w:p w14:paraId="3E3B3B9E" w14:textId="77777777" w:rsidR="001C4189" w:rsidRPr="008E0254" w:rsidRDefault="001C4189" w:rsidP="001C4189">
            <w:pPr>
              <w:jc w:val="center"/>
            </w:pPr>
          </w:p>
        </w:tc>
        <w:tc>
          <w:tcPr>
            <w:tcW w:w="1870" w:type="dxa"/>
          </w:tcPr>
          <w:p w14:paraId="63900674" w14:textId="77777777" w:rsidR="001C4189" w:rsidRPr="008E0254" w:rsidRDefault="001C4189" w:rsidP="001C4189">
            <w:pPr>
              <w:jc w:val="center"/>
              <w:rPr>
                <w:color w:val="000000"/>
              </w:rPr>
            </w:pPr>
            <w:r w:rsidRPr="008E0254">
              <w:rPr>
                <w:color w:val="000000"/>
              </w:rPr>
              <w:t>15.17%</w:t>
            </w:r>
          </w:p>
          <w:p w14:paraId="016AFE69" w14:textId="77777777" w:rsidR="001C4189" w:rsidRPr="008E0254" w:rsidRDefault="001C4189" w:rsidP="001C4189">
            <w:pPr>
              <w:jc w:val="center"/>
            </w:pPr>
          </w:p>
        </w:tc>
      </w:tr>
      <w:tr w:rsidR="001C4189" w14:paraId="0BB7AF83" w14:textId="77777777" w:rsidTr="00B14AF6">
        <w:tc>
          <w:tcPr>
            <w:tcW w:w="1870" w:type="dxa"/>
          </w:tcPr>
          <w:p w14:paraId="6995344A" w14:textId="20644D10" w:rsidR="001C4189" w:rsidRPr="008E0254" w:rsidRDefault="001C4189" w:rsidP="001C4189">
            <w:pPr>
              <w:jc w:val="center"/>
            </w:pPr>
            <w:r w:rsidRPr="008E0254">
              <w:t>Percent Return on Equity</w:t>
            </w:r>
          </w:p>
        </w:tc>
        <w:tc>
          <w:tcPr>
            <w:tcW w:w="1870" w:type="dxa"/>
          </w:tcPr>
          <w:p w14:paraId="648F1C6E" w14:textId="77777777" w:rsidR="001C4189" w:rsidRPr="008E0254" w:rsidRDefault="001C4189" w:rsidP="001C4189">
            <w:pPr>
              <w:jc w:val="center"/>
              <w:rPr>
                <w:color w:val="000000"/>
              </w:rPr>
            </w:pPr>
            <w:r w:rsidRPr="008E0254">
              <w:rPr>
                <w:color w:val="000000"/>
              </w:rPr>
              <w:t>36.41%</w:t>
            </w:r>
          </w:p>
          <w:p w14:paraId="1C03F52B" w14:textId="77777777" w:rsidR="001C4189" w:rsidRPr="008E0254" w:rsidRDefault="001C4189" w:rsidP="001C4189">
            <w:pPr>
              <w:jc w:val="center"/>
            </w:pPr>
          </w:p>
        </w:tc>
        <w:tc>
          <w:tcPr>
            <w:tcW w:w="1870" w:type="dxa"/>
          </w:tcPr>
          <w:p w14:paraId="78517E41" w14:textId="77777777" w:rsidR="001C4189" w:rsidRPr="008E0254" w:rsidRDefault="001C4189" w:rsidP="001C4189">
            <w:pPr>
              <w:jc w:val="center"/>
              <w:rPr>
                <w:color w:val="000000"/>
              </w:rPr>
            </w:pPr>
            <w:r w:rsidRPr="008E0254">
              <w:rPr>
                <w:color w:val="000000"/>
              </w:rPr>
              <w:t>34.89%</w:t>
            </w:r>
          </w:p>
          <w:p w14:paraId="5EE136E1" w14:textId="77777777" w:rsidR="001C4189" w:rsidRPr="008E0254" w:rsidRDefault="001C4189" w:rsidP="001C4189">
            <w:pPr>
              <w:jc w:val="center"/>
            </w:pPr>
          </w:p>
        </w:tc>
        <w:tc>
          <w:tcPr>
            <w:tcW w:w="1870" w:type="dxa"/>
          </w:tcPr>
          <w:p w14:paraId="546B9E70" w14:textId="77777777" w:rsidR="001C4189" w:rsidRPr="008E0254" w:rsidRDefault="001C4189" w:rsidP="001C4189">
            <w:pPr>
              <w:jc w:val="center"/>
              <w:rPr>
                <w:color w:val="000000"/>
              </w:rPr>
            </w:pPr>
            <w:r w:rsidRPr="008E0254">
              <w:rPr>
                <w:color w:val="000000"/>
              </w:rPr>
              <w:t>37.35%</w:t>
            </w:r>
          </w:p>
          <w:p w14:paraId="010341CA" w14:textId="77777777" w:rsidR="001C4189" w:rsidRPr="008E0254" w:rsidRDefault="001C4189" w:rsidP="001C4189">
            <w:pPr>
              <w:jc w:val="center"/>
            </w:pPr>
          </w:p>
        </w:tc>
      </w:tr>
    </w:tbl>
    <w:p w14:paraId="3DFDA567" w14:textId="376B9723" w:rsidR="00B14AF6" w:rsidRDefault="00B14AF6" w:rsidP="00B14AF6">
      <w:pPr>
        <w:pStyle w:val="Caption"/>
        <w:keepNext/>
        <w:jc w:val="center"/>
      </w:pPr>
      <w:r>
        <w:br/>
        <w:t>Table 1: Sales and Profitability</w:t>
      </w:r>
    </w:p>
    <w:p w14:paraId="7587EF04" w14:textId="21995D2A" w:rsidR="00941A04" w:rsidRDefault="00B14AF6" w:rsidP="00C46D44">
      <w:pPr>
        <w:spacing w:line="240" w:lineRule="auto"/>
        <w:ind w:left="720"/>
      </w:pPr>
      <w:r>
        <w:br/>
      </w:r>
      <w:r w:rsidR="00941A04">
        <w:tab/>
        <w:t>As</w:t>
      </w:r>
      <w:r w:rsidR="00610543">
        <w:t xml:space="preserve"> can be seen in Table 1, </w:t>
      </w:r>
      <w:r w:rsidR="00941A04">
        <w:t>o</w:t>
      </w:r>
      <w:r>
        <w:t>ver the last three years Cintas has seen steady and substantial revenue growth each year</w:t>
      </w:r>
      <w:r w:rsidR="00610543">
        <w:t xml:space="preserve">, with their </w:t>
      </w:r>
      <w:r w:rsidR="00941A04">
        <w:t>percentage</w:t>
      </w:r>
      <w:r w:rsidR="00610543">
        <w:t xml:space="preserve"> change in revenue rising by a significant amount each year. </w:t>
      </w:r>
      <w:r w:rsidR="00941A04">
        <w:t>Overall, every profitability metric is doing very well, and almost all are seeing significant annual growth.</w:t>
      </w:r>
    </w:p>
    <w:p w14:paraId="6525DB5E" w14:textId="1C8F60AF" w:rsidR="00941A04" w:rsidRDefault="00610543" w:rsidP="008E0254">
      <w:pPr>
        <w:pStyle w:val="ListParagraph"/>
        <w:numPr>
          <w:ilvl w:val="0"/>
          <w:numId w:val="2"/>
        </w:numPr>
        <w:spacing w:line="240" w:lineRule="auto"/>
      </w:pPr>
      <w:r>
        <w:t xml:space="preserve">Their gross profit margins are improving along with revenue, meaning that they are seeing higher revenues with only minor increases </w:t>
      </w:r>
      <w:r w:rsidR="00941A04">
        <w:t>in</w:t>
      </w:r>
      <w:r>
        <w:t xml:space="preserve"> costs.</w:t>
      </w:r>
      <w:r w:rsidR="00941A04">
        <w:br/>
      </w:r>
      <w:r>
        <w:t xml:space="preserve"> </w:t>
      </w:r>
    </w:p>
    <w:p w14:paraId="613A2C6B" w14:textId="7A060BFF" w:rsidR="00941A04" w:rsidRDefault="00610543" w:rsidP="008E0254">
      <w:pPr>
        <w:pStyle w:val="ListParagraph"/>
        <w:numPr>
          <w:ilvl w:val="0"/>
          <w:numId w:val="2"/>
        </w:numPr>
        <w:spacing w:line="240" w:lineRule="auto"/>
      </w:pPr>
      <w:r>
        <w:t xml:space="preserve">Their operating margin, or the profit before interest or taxes, is slightly increasing annually, further suggesting that the company’s revenue growth is outpacing their cost growth. </w:t>
      </w:r>
      <w:r w:rsidR="00941A04">
        <w:br/>
      </w:r>
    </w:p>
    <w:p w14:paraId="5F55BFE7" w14:textId="5507268D" w:rsidR="00941A04" w:rsidRDefault="00610543" w:rsidP="008E0254">
      <w:pPr>
        <w:pStyle w:val="ListParagraph"/>
        <w:numPr>
          <w:ilvl w:val="0"/>
          <w:numId w:val="2"/>
        </w:numPr>
        <w:spacing w:line="240" w:lineRule="auto"/>
      </w:pPr>
      <w:r>
        <w:t xml:space="preserve">The net profit margin is generally increasing overtime, meaning that the company’s after-tax profitability is also growing. </w:t>
      </w:r>
      <w:r w:rsidR="00941A04">
        <w:br/>
      </w:r>
    </w:p>
    <w:p w14:paraId="3519A017" w14:textId="0E5EE53D" w:rsidR="00941A04" w:rsidRDefault="00610543" w:rsidP="008E0254">
      <w:pPr>
        <w:pStyle w:val="ListParagraph"/>
        <w:numPr>
          <w:ilvl w:val="0"/>
          <w:numId w:val="2"/>
        </w:numPr>
        <w:spacing w:line="240" w:lineRule="auto"/>
      </w:pPr>
      <w:r>
        <w:t xml:space="preserve">The total asset turnover ratio measures </w:t>
      </w:r>
      <w:proofErr w:type="gramStart"/>
      <w:r>
        <w:t>how much efficiency</w:t>
      </w:r>
      <w:proofErr w:type="gramEnd"/>
      <w:r>
        <w:t xml:space="preserve"> the company gets out of their assets, and the growth that is being shown suggests that the </w:t>
      </w:r>
      <w:r>
        <w:lastRenderedPageBreak/>
        <w:t xml:space="preserve">Cintas </w:t>
      </w:r>
      <w:proofErr w:type="gramStart"/>
      <w:r>
        <w:t>is</w:t>
      </w:r>
      <w:proofErr w:type="gramEnd"/>
      <w:r>
        <w:t xml:space="preserve"> getting more and more out of their assets every year. </w:t>
      </w:r>
      <w:r w:rsidR="00941A04">
        <w:br/>
      </w:r>
    </w:p>
    <w:p w14:paraId="285C6E71" w14:textId="698D0BDB" w:rsidR="00941A04" w:rsidRDefault="00610543" w:rsidP="008E0254">
      <w:pPr>
        <w:pStyle w:val="ListParagraph"/>
        <w:numPr>
          <w:ilvl w:val="0"/>
          <w:numId w:val="2"/>
        </w:numPr>
        <w:spacing w:line="240" w:lineRule="auto"/>
      </w:pPr>
      <w:r>
        <w:t xml:space="preserve">Return on assets shows much profit the company gets out of each dollar spent on assets, and the increasing ROA further suggests that Cintas </w:t>
      </w:r>
      <w:proofErr w:type="gramStart"/>
      <w:r>
        <w:t>is</w:t>
      </w:r>
      <w:proofErr w:type="gramEnd"/>
      <w:r>
        <w:t xml:space="preserve"> getting more and more out of their assets every year. </w:t>
      </w:r>
      <w:r w:rsidR="00941A04">
        <w:br/>
      </w:r>
    </w:p>
    <w:p w14:paraId="5CECAB5E" w14:textId="630CC153" w:rsidR="00941A04" w:rsidRDefault="00610543" w:rsidP="008E0254">
      <w:pPr>
        <w:pStyle w:val="ListParagraph"/>
        <w:numPr>
          <w:ilvl w:val="0"/>
          <w:numId w:val="2"/>
        </w:numPr>
        <w:spacing w:line="240" w:lineRule="auto"/>
      </w:pPr>
      <w:r>
        <w:t xml:space="preserve">Return on equity </w:t>
      </w:r>
      <w:r w:rsidR="00941A04">
        <w:t xml:space="preserve">shows how much profit the company can </w:t>
      </w:r>
      <w:proofErr w:type="gramStart"/>
      <w:r w:rsidR="00941A04">
        <w:t>get out of</w:t>
      </w:r>
      <w:proofErr w:type="gramEnd"/>
      <w:r w:rsidR="00941A04">
        <w:t xml:space="preserve"> every dollar invested by shareholders. </w:t>
      </w:r>
      <w:r w:rsidR="00941A04">
        <w:br/>
      </w:r>
    </w:p>
    <w:p w14:paraId="6A763D15" w14:textId="30ED02B0" w:rsidR="008E0254" w:rsidRDefault="00941A04" w:rsidP="008E0254">
      <w:pPr>
        <w:pStyle w:val="ListParagraph"/>
        <w:numPr>
          <w:ilvl w:val="0"/>
          <w:numId w:val="2"/>
        </w:numPr>
        <w:spacing w:line="240" w:lineRule="auto"/>
      </w:pPr>
      <w:r>
        <w:t>Cintas’s ROE is relatively unchanging overtime, but it is still extremely high, showing that the company is making high returns on their investments.</w:t>
      </w:r>
      <w:r>
        <w:br/>
      </w:r>
    </w:p>
    <w:p w14:paraId="46E0EAA5" w14:textId="0B852707" w:rsidR="00B14AF6" w:rsidRPr="008E0254" w:rsidRDefault="001C4189" w:rsidP="008E0254">
      <w:pPr>
        <w:pStyle w:val="Heading2"/>
        <w:jc w:val="center"/>
      </w:pPr>
      <w:r w:rsidRPr="008E0254">
        <w:br/>
      </w:r>
      <w:bookmarkStart w:id="8" w:name="_Toc197467526"/>
      <w:r w:rsidRPr="008E0254">
        <w:t>II. Liquidity and Leverage Metrics</w:t>
      </w:r>
      <w:bookmarkEnd w:id="8"/>
    </w:p>
    <w:tbl>
      <w:tblPr>
        <w:tblStyle w:val="TableGrid"/>
        <w:tblW w:w="0" w:type="auto"/>
        <w:tblInd w:w="936" w:type="dxa"/>
        <w:tblLook w:val="04A0" w:firstRow="1" w:lastRow="0" w:firstColumn="1" w:lastColumn="0" w:noHBand="0" w:noVBand="1"/>
      </w:tblPr>
      <w:tblGrid>
        <w:gridCol w:w="1870"/>
        <w:gridCol w:w="1870"/>
        <w:gridCol w:w="1870"/>
        <w:gridCol w:w="1870"/>
      </w:tblGrid>
      <w:tr w:rsidR="001C4189" w14:paraId="12629230" w14:textId="77777777" w:rsidTr="00B14AF6">
        <w:tc>
          <w:tcPr>
            <w:tcW w:w="1870" w:type="dxa"/>
          </w:tcPr>
          <w:p w14:paraId="35FCD767" w14:textId="5BEB2FF4" w:rsidR="001C4189" w:rsidRPr="008E0254" w:rsidRDefault="001C4189" w:rsidP="00CF6EA5">
            <w:pPr>
              <w:jc w:val="center"/>
            </w:pPr>
            <w:r w:rsidRPr="008E0254">
              <w:t>Liquidity and Leverage</w:t>
            </w:r>
          </w:p>
        </w:tc>
        <w:tc>
          <w:tcPr>
            <w:tcW w:w="1870" w:type="dxa"/>
          </w:tcPr>
          <w:p w14:paraId="3FE067A1" w14:textId="77777777" w:rsidR="001C4189" w:rsidRPr="008E0254" w:rsidRDefault="001C4189" w:rsidP="00CF6EA5">
            <w:pPr>
              <w:jc w:val="center"/>
            </w:pPr>
            <w:r w:rsidRPr="008E0254">
              <w:t>Fiscal Year 2024</w:t>
            </w:r>
          </w:p>
        </w:tc>
        <w:tc>
          <w:tcPr>
            <w:tcW w:w="1870" w:type="dxa"/>
          </w:tcPr>
          <w:p w14:paraId="1EF463D5" w14:textId="77777777" w:rsidR="001C4189" w:rsidRPr="008E0254" w:rsidRDefault="001C4189" w:rsidP="00CF6EA5">
            <w:pPr>
              <w:jc w:val="center"/>
            </w:pPr>
            <w:r w:rsidRPr="008E0254">
              <w:t>Fiscal Year 2023</w:t>
            </w:r>
          </w:p>
        </w:tc>
        <w:tc>
          <w:tcPr>
            <w:tcW w:w="1870" w:type="dxa"/>
          </w:tcPr>
          <w:p w14:paraId="20A69BC7" w14:textId="77777777" w:rsidR="001C4189" w:rsidRPr="008E0254" w:rsidRDefault="001C4189" w:rsidP="00CF6EA5">
            <w:pPr>
              <w:jc w:val="center"/>
            </w:pPr>
            <w:r w:rsidRPr="008E0254">
              <w:t>Fiscal Year 2022</w:t>
            </w:r>
          </w:p>
        </w:tc>
      </w:tr>
      <w:tr w:rsidR="001C4189" w14:paraId="280DB52F" w14:textId="77777777" w:rsidTr="00B14AF6">
        <w:trPr>
          <w:trHeight w:val="476"/>
        </w:trPr>
        <w:tc>
          <w:tcPr>
            <w:tcW w:w="1870" w:type="dxa"/>
          </w:tcPr>
          <w:p w14:paraId="6A8F00E5" w14:textId="0901BF05" w:rsidR="001C4189" w:rsidRPr="008E0254" w:rsidRDefault="001C4189" w:rsidP="00CF6EA5">
            <w:pPr>
              <w:jc w:val="center"/>
            </w:pPr>
            <w:r w:rsidRPr="008E0254">
              <w:t>Current Ratio</w:t>
            </w:r>
          </w:p>
        </w:tc>
        <w:tc>
          <w:tcPr>
            <w:tcW w:w="1870" w:type="dxa"/>
          </w:tcPr>
          <w:p w14:paraId="7BC3ADC4" w14:textId="15D5A5FE" w:rsidR="001C4189" w:rsidRPr="008E0254" w:rsidRDefault="001C4189" w:rsidP="001C4189">
            <w:pPr>
              <w:jc w:val="center"/>
              <w:rPr>
                <w:color w:val="000000"/>
              </w:rPr>
            </w:pPr>
            <w:r w:rsidRPr="008E0254">
              <w:rPr>
                <w:color w:val="000000"/>
              </w:rPr>
              <w:t xml:space="preserve">1.74 </w:t>
            </w:r>
          </w:p>
          <w:p w14:paraId="0B2239A5" w14:textId="77777777" w:rsidR="001C4189" w:rsidRPr="008E0254" w:rsidRDefault="001C4189" w:rsidP="00CF6EA5">
            <w:pPr>
              <w:jc w:val="center"/>
            </w:pPr>
          </w:p>
        </w:tc>
        <w:tc>
          <w:tcPr>
            <w:tcW w:w="1870" w:type="dxa"/>
          </w:tcPr>
          <w:p w14:paraId="1975BDA6" w14:textId="404DC2FC" w:rsidR="001C4189" w:rsidRPr="008E0254" w:rsidRDefault="001C4189" w:rsidP="001C4189">
            <w:pPr>
              <w:jc w:val="center"/>
              <w:rPr>
                <w:color w:val="000000"/>
              </w:rPr>
            </w:pPr>
            <w:r w:rsidRPr="008E0254">
              <w:rPr>
                <w:color w:val="000000"/>
              </w:rPr>
              <w:t xml:space="preserve">2.39 </w:t>
            </w:r>
          </w:p>
          <w:p w14:paraId="3B0A2A5C" w14:textId="77777777" w:rsidR="001C4189" w:rsidRPr="008E0254" w:rsidRDefault="001C4189" w:rsidP="00CF6EA5">
            <w:pPr>
              <w:jc w:val="center"/>
            </w:pPr>
          </w:p>
        </w:tc>
        <w:tc>
          <w:tcPr>
            <w:tcW w:w="1870" w:type="dxa"/>
          </w:tcPr>
          <w:p w14:paraId="689E7656" w14:textId="023E22DB" w:rsidR="001C4189" w:rsidRPr="008E0254" w:rsidRDefault="001C4189" w:rsidP="001C4189">
            <w:pPr>
              <w:jc w:val="center"/>
              <w:rPr>
                <w:color w:val="000000"/>
              </w:rPr>
            </w:pPr>
            <w:r w:rsidRPr="008E0254">
              <w:rPr>
                <w:color w:val="000000"/>
              </w:rPr>
              <w:t xml:space="preserve">1.84 </w:t>
            </w:r>
          </w:p>
          <w:p w14:paraId="1007E6D6" w14:textId="77777777" w:rsidR="001C4189" w:rsidRPr="008E0254" w:rsidRDefault="001C4189" w:rsidP="00CF6EA5">
            <w:pPr>
              <w:jc w:val="center"/>
            </w:pPr>
          </w:p>
        </w:tc>
      </w:tr>
      <w:tr w:rsidR="001C4189" w14:paraId="7F142186" w14:textId="77777777" w:rsidTr="00B14AF6">
        <w:trPr>
          <w:trHeight w:val="539"/>
        </w:trPr>
        <w:tc>
          <w:tcPr>
            <w:tcW w:w="1870" w:type="dxa"/>
          </w:tcPr>
          <w:p w14:paraId="30ECA22B" w14:textId="63DBFC47" w:rsidR="001C4189" w:rsidRPr="008E0254" w:rsidRDefault="001C4189" w:rsidP="00CF6EA5">
            <w:pPr>
              <w:jc w:val="center"/>
            </w:pPr>
            <w:r w:rsidRPr="008E0254">
              <w:t>Coverage Ratio</w:t>
            </w:r>
          </w:p>
        </w:tc>
        <w:tc>
          <w:tcPr>
            <w:tcW w:w="1870" w:type="dxa"/>
          </w:tcPr>
          <w:p w14:paraId="5336F16A" w14:textId="77777777" w:rsidR="001C4189" w:rsidRPr="008E0254" w:rsidRDefault="001C4189" w:rsidP="001C4189">
            <w:pPr>
              <w:jc w:val="center"/>
              <w:rPr>
                <w:color w:val="000000"/>
              </w:rPr>
            </w:pPr>
            <w:r w:rsidRPr="008E0254">
              <w:rPr>
                <w:color w:val="000000"/>
              </w:rPr>
              <w:t>20.53</w:t>
            </w:r>
          </w:p>
          <w:p w14:paraId="01161A26" w14:textId="77777777" w:rsidR="001C4189" w:rsidRPr="008E0254" w:rsidRDefault="001C4189" w:rsidP="00CF6EA5">
            <w:pPr>
              <w:jc w:val="center"/>
            </w:pPr>
          </w:p>
        </w:tc>
        <w:tc>
          <w:tcPr>
            <w:tcW w:w="1870" w:type="dxa"/>
          </w:tcPr>
          <w:p w14:paraId="0F5B37CE" w14:textId="77777777" w:rsidR="001C4189" w:rsidRPr="008E0254" w:rsidRDefault="001C4189" w:rsidP="001C4189">
            <w:pPr>
              <w:jc w:val="center"/>
              <w:rPr>
                <w:color w:val="000000"/>
              </w:rPr>
            </w:pPr>
            <w:r w:rsidRPr="008E0254">
              <w:rPr>
                <w:color w:val="000000"/>
              </w:rPr>
              <w:t>16.21</w:t>
            </w:r>
          </w:p>
          <w:p w14:paraId="47F5E511" w14:textId="77777777" w:rsidR="001C4189" w:rsidRPr="008E0254" w:rsidRDefault="001C4189" w:rsidP="00CF6EA5">
            <w:pPr>
              <w:jc w:val="center"/>
            </w:pPr>
          </w:p>
        </w:tc>
        <w:tc>
          <w:tcPr>
            <w:tcW w:w="1870" w:type="dxa"/>
          </w:tcPr>
          <w:p w14:paraId="62634652" w14:textId="77777777" w:rsidR="001C4189" w:rsidRPr="008E0254" w:rsidRDefault="001C4189" w:rsidP="001C4189">
            <w:pPr>
              <w:jc w:val="center"/>
              <w:rPr>
                <w:color w:val="000000"/>
              </w:rPr>
            </w:pPr>
            <w:r w:rsidRPr="008E0254">
              <w:rPr>
                <w:color w:val="000000"/>
              </w:rPr>
              <w:t>17.87</w:t>
            </w:r>
          </w:p>
          <w:p w14:paraId="3F619F09" w14:textId="77777777" w:rsidR="001C4189" w:rsidRPr="008E0254" w:rsidRDefault="001C4189" w:rsidP="00CF6EA5">
            <w:pPr>
              <w:jc w:val="center"/>
            </w:pPr>
          </w:p>
        </w:tc>
      </w:tr>
      <w:tr w:rsidR="001C4189" w14:paraId="296C838C" w14:textId="77777777" w:rsidTr="00B14AF6">
        <w:trPr>
          <w:trHeight w:val="530"/>
        </w:trPr>
        <w:tc>
          <w:tcPr>
            <w:tcW w:w="1870" w:type="dxa"/>
          </w:tcPr>
          <w:p w14:paraId="42571DA5" w14:textId="36B37EEC" w:rsidR="001C4189" w:rsidRPr="008E0254" w:rsidRDefault="001C4189" w:rsidP="00CF6EA5">
            <w:pPr>
              <w:jc w:val="center"/>
            </w:pPr>
            <w:r w:rsidRPr="008E0254">
              <w:t>Total Debt Ratio</w:t>
            </w:r>
          </w:p>
        </w:tc>
        <w:tc>
          <w:tcPr>
            <w:tcW w:w="1870" w:type="dxa"/>
          </w:tcPr>
          <w:p w14:paraId="086E517E" w14:textId="77777777" w:rsidR="001C4189" w:rsidRPr="008E0254" w:rsidRDefault="001C4189" w:rsidP="001C4189">
            <w:pPr>
              <w:jc w:val="center"/>
              <w:rPr>
                <w:color w:val="000000"/>
              </w:rPr>
            </w:pPr>
            <w:r w:rsidRPr="008E0254">
              <w:rPr>
                <w:color w:val="000000"/>
              </w:rPr>
              <w:t>0.53</w:t>
            </w:r>
          </w:p>
          <w:p w14:paraId="23192879" w14:textId="77777777" w:rsidR="001C4189" w:rsidRPr="008E0254" w:rsidRDefault="001C4189" w:rsidP="00CF6EA5">
            <w:pPr>
              <w:jc w:val="center"/>
            </w:pPr>
          </w:p>
        </w:tc>
        <w:tc>
          <w:tcPr>
            <w:tcW w:w="1870" w:type="dxa"/>
          </w:tcPr>
          <w:p w14:paraId="449DF44A" w14:textId="77777777" w:rsidR="001C4189" w:rsidRPr="008E0254" w:rsidRDefault="001C4189" w:rsidP="001C4189">
            <w:pPr>
              <w:jc w:val="center"/>
              <w:rPr>
                <w:color w:val="000000"/>
              </w:rPr>
            </w:pPr>
            <w:r w:rsidRPr="008E0254">
              <w:rPr>
                <w:color w:val="000000"/>
              </w:rPr>
              <w:t>0.55</w:t>
            </w:r>
          </w:p>
          <w:p w14:paraId="17326228" w14:textId="77777777" w:rsidR="001C4189" w:rsidRPr="008E0254" w:rsidRDefault="001C4189" w:rsidP="00CF6EA5">
            <w:pPr>
              <w:jc w:val="center"/>
            </w:pPr>
          </w:p>
        </w:tc>
        <w:tc>
          <w:tcPr>
            <w:tcW w:w="1870" w:type="dxa"/>
          </w:tcPr>
          <w:p w14:paraId="7043833F" w14:textId="77777777" w:rsidR="001C4189" w:rsidRPr="008E0254" w:rsidRDefault="001C4189" w:rsidP="001C4189">
            <w:pPr>
              <w:jc w:val="center"/>
              <w:rPr>
                <w:color w:val="000000"/>
              </w:rPr>
            </w:pPr>
            <w:r w:rsidRPr="008E0254">
              <w:rPr>
                <w:color w:val="000000"/>
              </w:rPr>
              <w:t>0.59</w:t>
            </w:r>
          </w:p>
          <w:p w14:paraId="02EC54DA" w14:textId="77777777" w:rsidR="001C4189" w:rsidRPr="008E0254" w:rsidRDefault="001C4189" w:rsidP="00CF6EA5">
            <w:pPr>
              <w:jc w:val="center"/>
            </w:pPr>
          </w:p>
        </w:tc>
      </w:tr>
      <w:tr w:rsidR="001C4189" w14:paraId="5CEE6A1A" w14:textId="77777777" w:rsidTr="00B14AF6">
        <w:tc>
          <w:tcPr>
            <w:tcW w:w="1870" w:type="dxa"/>
          </w:tcPr>
          <w:p w14:paraId="42FF5692" w14:textId="47D51695" w:rsidR="001C4189" w:rsidRPr="008E0254" w:rsidRDefault="001C4189" w:rsidP="00CF6EA5">
            <w:pPr>
              <w:jc w:val="center"/>
            </w:pPr>
            <w:r w:rsidRPr="008E0254">
              <w:t>Debt-Equity Ratio</w:t>
            </w:r>
          </w:p>
        </w:tc>
        <w:tc>
          <w:tcPr>
            <w:tcW w:w="1870" w:type="dxa"/>
          </w:tcPr>
          <w:p w14:paraId="0539A385" w14:textId="77777777" w:rsidR="001C4189" w:rsidRPr="008E0254" w:rsidRDefault="001C4189" w:rsidP="001C4189">
            <w:pPr>
              <w:jc w:val="center"/>
              <w:rPr>
                <w:color w:val="000000"/>
              </w:rPr>
            </w:pPr>
            <w:r w:rsidRPr="008E0254">
              <w:rPr>
                <w:color w:val="000000"/>
              </w:rPr>
              <w:t>1.12</w:t>
            </w:r>
          </w:p>
          <w:p w14:paraId="58A8E82B" w14:textId="77777777" w:rsidR="001C4189" w:rsidRPr="008E0254" w:rsidRDefault="001C4189" w:rsidP="00CF6EA5">
            <w:pPr>
              <w:jc w:val="center"/>
            </w:pPr>
          </w:p>
        </w:tc>
        <w:tc>
          <w:tcPr>
            <w:tcW w:w="1870" w:type="dxa"/>
          </w:tcPr>
          <w:p w14:paraId="4535447D" w14:textId="77777777" w:rsidR="001C4189" w:rsidRPr="008E0254" w:rsidRDefault="001C4189" w:rsidP="001C4189">
            <w:pPr>
              <w:jc w:val="center"/>
              <w:rPr>
                <w:color w:val="000000"/>
              </w:rPr>
            </w:pPr>
            <w:r w:rsidRPr="008E0254">
              <w:rPr>
                <w:color w:val="000000"/>
              </w:rPr>
              <w:t>1.21</w:t>
            </w:r>
          </w:p>
          <w:p w14:paraId="62DF9E3F" w14:textId="77777777" w:rsidR="001C4189" w:rsidRPr="008E0254" w:rsidRDefault="001C4189" w:rsidP="00CF6EA5">
            <w:pPr>
              <w:jc w:val="center"/>
            </w:pPr>
          </w:p>
        </w:tc>
        <w:tc>
          <w:tcPr>
            <w:tcW w:w="1870" w:type="dxa"/>
          </w:tcPr>
          <w:p w14:paraId="6A4F8DD5" w14:textId="77777777" w:rsidR="001C4189" w:rsidRPr="008E0254" w:rsidRDefault="001C4189" w:rsidP="001C4189">
            <w:pPr>
              <w:jc w:val="center"/>
              <w:rPr>
                <w:color w:val="000000"/>
              </w:rPr>
            </w:pPr>
            <w:r w:rsidRPr="008E0254">
              <w:rPr>
                <w:color w:val="000000"/>
              </w:rPr>
              <w:t>1.46</w:t>
            </w:r>
          </w:p>
          <w:p w14:paraId="37C6D4EB" w14:textId="77777777" w:rsidR="001C4189" w:rsidRPr="008E0254" w:rsidRDefault="001C4189" w:rsidP="00CF6EA5">
            <w:pPr>
              <w:jc w:val="center"/>
            </w:pPr>
          </w:p>
        </w:tc>
      </w:tr>
    </w:tbl>
    <w:p w14:paraId="7D0FE28D" w14:textId="0D02FB86" w:rsidR="00B14AF6" w:rsidRDefault="00B14AF6" w:rsidP="00B14AF6">
      <w:pPr>
        <w:pStyle w:val="Caption"/>
        <w:keepNext/>
        <w:jc w:val="center"/>
      </w:pPr>
      <w:r>
        <w:t>Table 2: Liquidity and Leverage Ratios</w:t>
      </w:r>
    </w:p>
    <w:p w14:paraId="2211F1C9" w14:textId="3638CA35" w:rsidR="00941A04" w:rsidRDefault="00941A04" w:rsidP="008E0254">
      <w:pPr>
        <w:spacing w:line="240" w:lineRule="auto"/>
        <w:ind w:left="720" w:firstLine="720"/>
      </w:pPr>
      <w:r>
        <w:t xml:space="preserve">As can be seen in Table 2, over the last three years Cintas has </w:t>
      </w:r>
      <w:r w:rsidR="008E0254">
        <w:t>generally been increasing the quality of their liquidity and leverage ratios, meaning that the company is becoming more stable to investors.</w:t>
      </w:r>
    </w:p>
    <w:p w14:paraId="53A1A90B" w14:textId="3420C7D2" w:rsidR="00941A04" w:rsidRDefault="00941A04" w:rsidP="008E0254">
      <w:pPr>
        <w:pStyle w:val="ListParagraph"/>
        <w:numPr>
          <w:ilvl w:val="0"/>
          <w:numId w:val="2"/>
        </w:numPr>
        <w:spacing w:line="240" w:lineRule="auto"/>
      </w:pPr>
      <w:r>
        <w:t>The current ratio measures short-term liquidity in the ability to pay off current liabilities with current assets. Cintas’ current ratio being greater than one means that the company has more current assets than liabilities, which indicates responsible investing and means that they would be able to pay off any potential liabilities they have by selling assets. The current ratio has not had any significant trends, but the overall ratio each year is still very good.</w:t>
      </w:r>
      <w:r>
        <w:br/>
      </w:r>
    </w:p>
    <w:p w14:paraId="44CA3ACE" w14:textId="77777777" w:rsidR="008E0254" w:rsidRDefault="00941A04" w:rsidP="008E0254">
      <w:pPr>
        <w:pStyle w:val="ListParagraph"/>
        <w:numPr>
          <w:ilvl w:val="0"/>
          <w:numId w:val="2"/>
        </w:numPr>
        <w:spacing w:line="240" w:lineRule="auto"/>
      </w:pPr>
      <w:r>
        <w:t xml:space="preserve">The coverage ratio measures a company’s ability to cover interest expenses with equity. Cintas’ coverage ratio being way above one means that each year they can </w:t>
      </w:r>
      <w:r w:rsidR="008E0254">
        <w:t>cover their interest expenses many times over. Their coverage ratio is overall trending upwards, meaning that the company is seeing good management of earnings and interest expenses.</w:t>
      </w:r>
    </w:p>
    <w:p w14:paraId="1760918B" w14:textId="77777777" w:rsidR="008E0254" w:rsidRDefault="008E0254" w:rsidP="008E0254">
      <w:pPr>
        <w:pStyle w:val="ListParagraph"/>
        <w:spacing w:line="240" w:lineRule="auto"/>
        <w:ind w:left="1440"/>
      </w:pPr>
    </w:p>
    <w:p w14:paraId="5A281957" w14:textId="77777777" w:rsidR="008E0254" w:rsidRDefault="008E0254" w:rsidP="008E0254">
      <w:pPr>
        <w:pStyle w:val="ListParagraph"/>
        <w:numPr>
          <w:ilvl w:val="0"/>
          <w:numId w:val="2"/>
        </w:numPr>
        <w:spacing w:line="240" w:lineRule="auto"/>
      </w:pPr>
      <w:r>
        <w:t>The total debt ratio shows the percentage of assets that still need to be paid for in liabilities. Cintas’ downward trend in total debt ratio is good and means that the company is reducing their reliance on debt to pay for assets.</w:t>
      </w:r>
    </w:p>
    <w:p w14:paraId="6693E428" w14:textId="77777777" w:rsidR="008E0254" w:rsidRDefault="008E0254" w:rsidP="008E0254">
      <w:pPr>
        <w:pStyle w:val="ListParagraph"/>
        <w:spacing w:line="240" w:lineRule="auto"/>
        <w:ind w:left="1440"/>
      </w:pPr>
    </w:p>
    <w:p w14:paraId="25755E99" w14:textId="61052E23" w:rsidR="00941A04" w:rsidRDefault="008E0254" w:rsidP="008E0254">
      <w:pPr>
        <w:pStyle w:val="ListParagraph"/>
        <w:numPr>
          <w:ilvl w:val="0"/>
          <w:numId w:val="2"/>
        </w:numPr>
        <w:spacing w:line="240" w:lineRule="auto"/>
      </w:pPr>
      <w:r>
        <w:t xml:space="preserve">The debt-to-equity ratio compares liabilities to shareholder’s equity. Cintas’s decreasing </w:t>
      </w:r>
      <w:proofErr w:type="gramStart"/>
      <w:r>
        <w:t>ratio overtime</w:t>
      </w:r>
      <w:proofErr w:type="gramEnd"/>
      <w:r>
        <w:t xml:space="preserve"> is </w:t>
      </w:r>
      <w:proofErr w:type="gramStart"/>
      <w:r>
        <w:t>good</w:t>
      </w:r>
      <w:proofErr w:type="gramEnd"/>
      <w:r>
        <w:t xml:space="preserve"> and it means that they are reducing their liabilities or increasing their shareholder’s </w:t>
      </w:r>
      <w:proofErr w:type="gramStart"/>
      <w:r>
        <w:t>equity, and</w:t>
      </w:r>
      <w:proofErr w:type="gramEnd"/>
      <w:r>
        <w:t xml:space="preserve"> therefore are increasing the stability of their company.</w:t>
      </w:r>
      <w:r w:rsidR="00941A04">
        <w:br/>
        <w:t xml:space="preserve"> </w:t>
      </w:r>
    </w:p>
    <w:p w14:paraId="73C3223B" w14:textId="2EFAEF85" w:rsidR="000B620F" w:rsidRPr="00AE1725" w:rsidRDefault="000B620F" w:rsidP="00941A04">
      <w:pPr>
        <w:spacing w:line="240" w:lineRule="auto"/>
        <w:jc w:val="center"/>
        <w:rPr>
          <w:rFonts w:asciiTheme="majorHAnsi" w:hAnsiTheme="majorHAnsi" w:cs="Calibri"/>
        </w:rPr>
      </w:pPr>
    </w:p>
    <w:p w14:paraId="0128D928" w14:textId="788091CB" w:rsidR="000B620F" w:rsidRDefault="000B620F" w:rsidP="00074BFA">
      <w:pPr>
        <w:pStyle w:val="Heading1"/>
        <w:jc w:val="center"/>
      </w:pPr>
      <w:bookmarkStart w:id="9" w:name="_Toc197467527"/>
      <w:r w:rsidRPr="00AE1725">
        <w:t>Section 3: Investing Activities</w:t>
      </w:r>
      <w:bookmarkEnd w:id="9"/>
    </w:p>
    <w:p w14:paraId="3A9044E3" w14:textId="6C3898C2" w:rsidR="008E0254" w:rsidRDefault="00074BFA" w:rsidP="00074BFA">
      <w:pPr>
        <w:pStyle w:val="Heading2"/>
        <w:jc w:val="center"/>
      </w:pPr>
      <w:bookmarkStart w:id="10" w:name="_Toc197467528"/>
      <w:r>
        <w:t>I. Investment Overview</w:t>
      </w:r>
      <w:bookmarkEnd w:id="10"/>
    </w:p>
    <w:p w14:paraId="166521F9" w14:textId="149CB9CB" w:rsidR="00371043" w:rsidRDefault="00371043" w:rsidP="00371043">
      <w:pPr>
        <w:ind w:firstLine="720"/>
      </w:pPr>
      <w:r>
        <w:t>Since 2020, Cintas has</w:t>
      </w:r>
      <w:r w:rsidRPr="00371043">
        <w:t xml:space="preserve"> undertaken </w:t>
      </w:r>
      <w:r>
        <w:t>a</w:t>
      </w:r>
      <w:r w:rsidRPr="00371043">
        <w:t xml:space="preserve"> </w:t>
      </w:r>
      <w:r w:rsidR="000E3F08">
        <w:t>large</w:t>
      </w:r>
      <w:r w:rsidRPr="00371043">
        <w:t xml:space="preserve"> digital transformation</w:t>
      </w:r>
      <w:r w:rsidR="000E3F08">
        <w:t xml:space="preserve"> of their traditional uniform service</w:t>
      </w:r>
      <w:r w:rsidRPr="00371043">
        <w:t xml:space="preserve"> aimed at modernizing operations, enhancing customer experience, and empowering </w:t>
      </w:r>
      <w:r w:rsidR="000E3F08">
        <w:t>employees.</w:t>
      </w:r>
      <w:r>
        <w:t xml:space="preserve"> </w:t>
      </w:r>
    </w:p>
    <w:p w14:paraId="66C5B589" w14:textId="57C1635B" w:rsidR="00074BFA" w:rsidRDefault="000E3F08" w:rsidP="00371043">
      <w:pPr>
        <w:ind w:firstLine="720"/>
      </w:pPr>
      <w:r>
        <w:t>The</w:t>
      </w:r>
      <w:r w:rsidR="00371043" w:rsidRPr="00371043">
        <w:t xml:space="preserve"> transformation modernize</w:t>
      </w:r>
      <w:r>
        <w:t>s</w:t>
      </w:r>
      <w:r w:rsidR="00371043" w:rsidRPr="00371043">
        <w:t xml:space="preserve"> </w:t>
      </w:r>
      <w:r>
        <w:t>Cintas’</w:t>
      </w:r>
      <w:r w:rsidR="00371043" w:rsidRPr="00371043">
        <w:t xml:space="preserve"> rental </w:t>
      </w:r>
      <w:proofErr w:type="gramStart"/>
      <w:r w:rsidR="00371043" w:rsidRPr="00371043">
        <w:t>division</w:t>
      </w:r>
      <w:r>
        <w:t xml:space="preserve"> </w:t>
      </w:r>
      <w:r w:rsidR="00371043" w:rsidRPr="00371043">
        <w:t>,</w:t>
      </w:r>
      <w:proofErr w:type="gramEnd"/>
      <w:r w:rsidR="00371043" w:rsidRPr="00371043">
        <w:t xml:space="preserve"> which serves approximately four million wearers and tracks 40 million garments daily. </w:t>
      </w:r>
      <w:r>
        <w:t>This</w:t>
      </w:r>
      <w:r w:rsidR="00371043" w:rsidRPr="00371043">
        <w:t xml:space="preserve"> investment was </w:t>
      </w:r>
      <w:r>
        <w:t xml:space="preserve">made </w:t>
      </w:r>
      <w:r w:rsidR="00371043" w:rsidRPr="00371043">
        <w:t xml:space="preserve">to update legacy systems, improve data management infrastructure, enhance customer relations platforms, and modernize HR systems. By doing so, Cintas </w:t>
      </w:r>
      <w:r>
        <w:t xml:space="preserve">additionally </w:t>
      </w:r>
      <w:r w:rsidRPr="00371043">
        <w:t>aims</w:t>
      </w:r>
      <w:r w:rsidR="00371043" w:rsidRPr="00371043">
        <w:t xml:space="preserve"> to </w:t>
      </w:r>
      <w:r>
        <w:t>improve their position with their supply chains.</w:t>
      </w:r>
    </w:p>
    <w:p w14:paraId="219E4BB9" w14:textId="77777777" w:rsidR="00371043" w:rsidRPr="00074BFA" w:rsidRDefault="00371043" w:rsidP="00371043">
      <w:pPr>
        <w:ind w:firstLine="720"/>
      </w:pPr>
    </w:p>
    <w:p w14:paraId="02ED5022" w14:textId="14AEB3AA" w:rsidR="00074BFA" w:rsidRDefault="00074BFA" w:rsidP="00074BFA">
      <w:pPr>
        <w:pStyle w:val="Heading2"/>
        <w:jc w:val="center"/>
      </w:pPr>
      <w:bookmarkStart w:id="11" w:name="_Toc197467529"/>
      <w:r>
        <w:t>II. Investment Date</w:t>
      </w:r>
      <w:bookmarkEnd w:id="11"/>
    </w:p>
    <w:p w14:paraId="75265FED" w14:textId="7EB60796" w:rsidR="00074BFA" w:rsidRDefault="00371043" w:rsidP="00074BFA">
      <w:pPr>
        <w:spacing w:line="240" w:lineRule="auto"/>
        <w:ind w:firstLine="720"/>
        <w:rPr>
          <w:rFonts w:cs="Calibri"/>
        </w:rPr>
      </w:pPr>
      <w:r w:rsidRPr="00371043">
        <w:rPr>
          <w:rFonts w:cs="Calibri"/>
        </w:rPr>
        <w:t xml:space="preserve">Cintas began its digital transformation initiative </w:t>
      </w:r>
      <w:r>
        <w:rPr>
          <w:rFonts w:cs="Calibri"/>
        </w:rPr>
        <w:t>in</w:t>
      </w:r>
      <w:r w:rsidRPr="00371043">
        <w:rPr>
          <w:rFonts w:cs="Calibri"/>
        </w:rPr>
        <w:t xml:space="preserve"> fiscal year 2020, with implementation efforts ramping up through fiscal years 2021 to 2024.</w:t>
      </w:r>
    </w:p>
    <w:p w14:paraId="60D2F870" w14:textId="77777777" w:rsidR="00074BFA" w:rsidRDefault="00074BFA" w:rsidP="00074BFA">
      <w:pPr>
        <w:spacing w:line="240" w:lineRule="auto"/>
        <w:ind w:firstLine="720"/>
        <w:rPr>
          <w:rFonts w:cs="Calibri"/>
        </w:rPr>
      </w:pPr>
    </w:p>
    <w:p w14:paraId="2C232265" w14:textId="2F540F70" w:rsidR="00074BFA" w:rsidRDefault="00074BFA" w:rsidP="00074BFA">
      <w:pPr>
        <w:pStyle w:val="Heading2"/>
        <w:jc w:val="center"/>
      </w:pPr>
      <w:bookmarkStart w:id="12" w:name="_Toc197467530"/>
      <w:r>
        <w:t>III. Investment Cost</w:t>
      </w:r>
      <w:bookmarkEnd w:id="12"/>
    </w:p>
    <w:p w14:paraId="74DC7F05" w14:textId="73245B4C" w:rsidR="00074BFA" w:rsidRDefault="00371043" w:rsidP="00074BFA">
      <w:pPr>
        <w:spacing w:line="240" w:lineRule="auto"/>
        <w:ind w:firstLine="720"/>
        <w:rPr>
          <w:rFonts w:cs="Calibri"/>
        </w:rPr>
      </w:pPr>
      <w:r w:rsidRPr="00371043">
        <w:rPr>
          <w:rFonts w:cs="Calibri"/>
        </w:rPr>
        <w:t>While the company does not list this investment as a standalone item</w:t>
      </w:r>
      <w:r>
        <w:rPr>
          <w:rFonts w:cs="Calibri"/>
        </w:rPr>
        <w:t xml:space="preserve"> in their financial statements</w:t>
      </w:r>
      <w:r w:rsidRPr="00371043">
        <w:rPr>
          <w:rFonts w:cs="Calibri"/>
        </w:rPr>
        <w:t xml:space="preserve">, Capital expenditures rose from $277.7 million in </w:t>
      </w:r>
      <w:r>
        <w:rPr>
          <w:rFonts w:cs="Calibri"/>
        </w:rPr>
        <w:t xml:space="preserve">fiscal year </w:t>
      </w:r>
      <w:r w:rsidRPr="00371043">
        <w:rPr>
          <w:rFonts w:cs="Calibri"/>
        </w:rPr>
        <w:t xml:space="preserve">2020 to $417.6 million in </w:t>
      </w:r>
      <w:r>
        <w:rPr>
          <w:rFonts w:cs="Calibri"/>
        </w:rPr>
        <w:t xml:space="preserve">fiscal year </w:t>
      </w:r>
      <w:r w:rsidRPr="00371043">
        <w:rPr>
          <w:rFonts w:cs="Calibri"/>
        </w:rPr>
        <w:t xml:space="preserve">2023, with portions specifically allocated to upgrades in information technology infrastructure and digital </w:t>
      </w:r>
      <w:r>
        <w:rPr>
          <w:rFonts w:cs="Calibri"/>
        </w:rPr>
        <w:t>tools.</w:t>
      </w:r>
    </w:p>
    <w:p w14:paraId="7C97AA62" w14:textId="2C75154F" w:rsidR="00371043" w:rsidRDefault="00371043" w:rsidP="00371043">
      <w:pPr>
        <w:pStyle w:val="Heading2"/>
        <w:jc w:val="center"/>
      </w:pPr>
      <w:bookmarkStart w:id="13" w:name="_Toc197467531"/>
      <w:r>
        <w:lastRenderedPageBreak/>
        <w:t xml:space="preserve">IV. </w:t>
      </w:r>
      <w:r w:rsidR="00074BFA">
        <w:t>Investment Results:</w:t>
      </w:r>
      <w:bookmarkEnd w:id="13"/>
    </w:p>
    <w:p w14:paraId="553E0957" w14:textId="442754A3" w:rsidR="00371043" w:rsidRPr="00371043" w:rsidRDefault="00371043" w:rsidP="00371043">
      <w:pPr>
        <w:spacing w:line="240" w:lineRule="auto"/>
        <w:ind w:firstLine="720"/>
        <w:rPr>
          <w:rFonts w:cs="Calibri"/>
        </w:rPr>
      </w:pPr>
      <w:r w:rsidRPr="00371043">
        <w:rPr>
          <w:rFonts w:cs="Calibri"/>
        </w:rPr>
        <w:t xml:space="preserve">The digital upgrades to </w:t>
      </w:r>
      <w:r>
        <w:rPr>
          <w:rFonts w:cs="Calibri"/>
        </w:rPr>
        <w:t>Cintas’</w:t>
      </w:r>
      <w:r w:rsidRPr="00371043">
        <w:rPr>
          <w:rFonts w:cs="Calibri"/>
        </w:rPr>
        <w:t xml:space="preserve"> rental division improved route optimization and inventory accuracy, which reduced delivery times and </w:t>
      </w:r>
      <w:r>
        <w:rPr>
          <w:rFonts w:cs="Calibri"/>
        </w:rPr>
        <w:t xml:space="preserve">therefore likely </w:t>
      </w:r>
      <w:r w:rsidRPr="00371043">
        <w:rPr>
          <w:rFonts w:cs="Calibri"/>
        </w:rPr>
        <w:t>increased customer satisfaction</w:t>
      </w:r>
      <w:r>
        <w:rPr>
          <w:rFonts w:cs="Calibri"/>
        </w:rPr>
        <w:t xml:space="preserve"> and retention</w:t>
      </w:r>
      <w:r w:rsidRPr="00371043">
        <w:rPr>
          <w:rFonts w:cs="Calibri"/>
        </w:rPr>
        <w:t xml:space="preserve">. Additionally, the improved data infrastructure has enabled better demand forecasting and supply chain resilience, helping the company maintain service levels during </w:t>
      </w:r>
      <w:r>
        <w:rPr>
          <w:rFonts w:cs="Calibri"/>
        </w:rPr>
        <w:t xml:space="preserve">the </w:t>
      </w:r>
      <w:r w:rsidRPr="00371043">
        <w:rPr>
          <w:rFonts w:cs="Calibri"/>
        </w:rPr>
        <w:t xml:space="preserve">COVID-19 </w:t>
      </w:r>
      <w:r>
        <w:rPr>
          <w:rFonts w:cs="Calibri"/>
        </w:rPr>
        <w:t xml:space="preserve">pandemic. </w:t>
      </w:r>
      <w:r w:rsidRPr="00371043">
        <w:rPr>
          <w:rFonts w:cs="Calibri"/>
        </w:rPr>
        <w:t xml:space="preserve">Going forward, </w:t>
      </w:r>
      <w:proofErr w:type="gramStart"/>
      <w:r w:rsidRPr="00371043">
        <w:rPr>
          <w:rFonts w:cs="Calibri"/>
        </w:rPr>
        <w:t>Cintas</w:t>
      </w:r>
      <w:proofErr w:type="gramEnd"/>
      <w:r w:rsidRPr="00371043">
        <w:rPr>
          <w:rFonts w:cs="Calibri"/>
        </w:rPr>
        <w:t xml:space="preserve"> projects continued cost savings through automation and efficiency, as well as revenue growth tied to </w:t>
      </w:r>
      <w:r>
        <w:rPr>
          <w:rFonts w:cs="Calibri"/>
        </w:rPr>
        <w:t xml:space="preserve">increased </w:t>
      </w:r>
      <w:r w:rsidRPr="00371043">
        <w:rPr>
          <w:rFonts w:cs="Calibri"/>
        </w:rPr>
        <w:t>customer retention.</w:t>
      </w:r>
    </w:p>
    <w:p w14:paraId="3288750C" w14:textId="77777777" w:rsidR="00371043" w:rsidRPr="00074BFA" w:rsidRDefault="00371043" w:rsidP="00074BFA">
      <w:pPr>
        <w:spacing w:line="240" w:lineRule="auto"/>
        <w:ind w:firstLine="720"/>
        <w:rPr>
          <w:rFonts w:cs="Calibri"/>
        </w:rPr>
      </w:pPr>
    </w:p>
    <w:p w14:paraId="228A5771" w14:textId="5CFE112D" w:rsidR="000B620F" w:rsidRPr="00AE1725" w:rsidRDefault="000B620F" w:rsidP="000E3F08">
      <w:pPr>
        <w:pStyle w:val="Heading1"/>
        <w:jc w:val="center"/>
      </w:pPr>
      <w:bookmarkStart w:id="14" w:name="_Toc197467532"/>
      <w:r w:rsidRPr="00AE1725">
        <w:t>Section 4: Financing and Payout Activities</w:t>
      </w:r>
      <w:bookmarkEnd w:id="14"/>
    </w:p>
    <w:p w14:paraId="4107A128" w14:textId="4BC464E0" w:rsidR="000B620F" w:rsidRPr="000E3F08" w:rsidRDefault="000E3F08" w:rsidP="000E3F08">
      <w:pPr>
        <w:pStyle w:val="Heading2"/>
        <w:jc w:val="center"/>
      </w:pPr>
      <w:bookmarkStart w:id="15" w:name="_Toc197467533"/>
      <w:r>
        <w:t>I. Retained Earnings</w:t>
      </w:r>
      <w:bookmarkEnd w:id="15"/>
    </w:p>
    <w:p w14:paraId="6DC44532" w14:textId="2D3D5977" w:rsidR="000E3F08" w:rsidRPr="000E3F08" w:rsidRDefault="000E3F08" w:rsidP="000E3F08">
      <w:pPr>
        <w:spacing w:line="240" w:lineRule="auto"/>
        <w:rPr>
          <w:rFonts w:asciiTheme="majorHAnsi" w:hAnsiTheme="majorHAnsi" w:cs="Calibri"/>
        </w:rPr>
      </w:pPr>
      <w:r w:rsidRPr="000E3F08">
        <w:rPr>
          <w:rFonts w:asciiTheme="majorHAnsi" w:hAnsiTheme="majorHAnsi" w:cs="Calibri"/>
        </w:rPr>
        <w:br/>
        <w:t xml:space="preserve">Cintas Corporation has consistently reinvested a significant portion of </w:t>
      </w:r>
      <w:r>
        <w:rPr>
          <w:rFonts w:asciiTheme="majorHAnsi" w:hAnsiTheme="majorHAnsi" w:cs="Calibri"/>
        </w:rPr>
        <w:t>their</w:t>
      </w:r>
      <w:r w:rsidRPr="000E3F08">
        <w:rPr>
          <w:rFonts w:asciiTheme="majorHAnsi" w:hAnsiTheme="majorHAnsi" w:cs="Calibri"/>
        </w:rPr>
        <w:t xml:space="preserve"> net income to support growth and operational needs</w:t>
      </w:r>
      <w:r w:rsidR="00AD7F58">
        <w:rPr>
          <w:rFonts w:asciiTheme="majorHAnsi" w:hAnsiTheme="majorHAnsi" w:cs="Calibri"/>
        </w:rPr>
        <w:t>, as displayed in Tabe 3 below:</w:t>
      </w:r>
    </w:p>
    <w:tbl>
      <w:tblPr>
        <w:tblStyle w:val="TableGrid"/>
        <w:tblW w:w="0" w:type="auto"/>
        <w:tblLook w:val="04A0" w:firstRow="1" w:lastRow="0" w:firstColumn="1" w:lastColumn="0" w:noHBand="0" w:noVBand="1"/>
      </w:tblPr>
      <w:tblGrid>
        <w:gridCol w:w="2337"/>
        <w:gridCol w:w="2337"/>
        <w:gridCol w:w="2338"/>
        <w:gridCol w:w="2338"/>
      </w:tblGrid>
      <w:tr w:rsidR="000E3F08" w14:paraId="264A8762" w14:textId="77777777" w:rsidTr="000E3F08">
        <w:tc>
          <w:tcPr>
            <w:tcW w:w="2337" w:type="dxa"/>
          </w:tcPr>
          <w:p w14:paraId="4D45BD2E" w14:textId="77777777" w:rsidR="000E3F08" w:rsidRDefault="000E3F08" w:rsidP="000E3F08">
            <w:pPr>
              <w:rPr>
                <w:rFonts w:asciiTheme="majorHAnsi" w:hAnsiTheme="majorHAnsi" w:cs="Calibri"/>
              </w:rPr>
            </w:pPr>
          </w:p>
        </w:tc>
        <w:tc>
          <w:tcPr>
            <w:tcW w:w="2337" w:type="dxa"/>
          </w:tcPr>
          <w:p w14:paraId="07777890" w14:textId="29F12609" w:rsidR="000E3F08" w:rsidRDefault="000E3F08" w:rsidP="000E3F08">
            <w:pPr>
              <w:rPr>
                <w:rFonts w:asciiTheme="majorHAnsi" w:hAnsiTheme="majorHAnsi" w:cs="Calibri"/>
              </w:rPr>
            </w:pPr>
            <w:r>
              <w:rPr>
                <w:rFonts w:asciiTheme="majorHAnsi" w:hAnsiTheme="majorHAnsi" w:cs="Calibri"/>
              </w:rPr>
              <w:t>Fiscal Year 2024</w:t>
            </w:r>
          </w:p>
        </w:tc>
        <w:tc>
          <w:tcPr>
            <w:tcW w:w="2338" w:type="dxa"/>
          </w:tcPr>
          <w:p w14:paraId="0D58E08A" w14:textId="777BFCA6" w:rsidR="000E3F08" w:rsidRDefault="000E3F08" w:rsidP="000E3F08">
            <w:pPr>
              <w:rPr>
                <w:rFonts w:asciiTheme="majorHAnsi" w:hAnsiTheme="majorHAnsi" w:cs="Calibri"/>
              </w:rPr>
            </w:pPr>
            <w:r>
              <w:rPr>
                <w:rFonts w:asciiTheme="majorHAnsi" w:hAnsiTheme="majorHAnsi" w:cs="Calibri"/>
              </w:rPr>
              <w:t>Fiscal Year 2023</w:t>
            </w:r>
          </w:p>
        </w:tc>
        <w:tc>
          <w:tcPr>
            <w:tcW w:w="2338" w:type="dxa"/>
          </w:tcPr>
          <w:p w14:paraId="25AAD8C3" w14:textId="76557E40" w:rsidR="000E3F08" w:rsidRDefault="000E3F08" w:rsidP="000E3F08">
            <w:pPr>
              <w:rPr>
                <w:rFonts w:asciiTheme="majorHAnsi" w:hAnsiTheme="majorHAnsi" w:cs="Calibri"/>
              </w:rPr>
            </w:pPr>
            <w:r>
              <w:rPr>
                <w:rFonts w:asciiTheme="majorHAnsi" w:hAnsiTheme="majorHAnsi" w:cs="Calibri"/>
              </w:rPr>
              <w:t>Fiscal Year 2022</w:t>
            </w:r>
          </w:p>
        </w:tc>
      </w:tr>
      <w:tr w:rsidR="000E3F08" w14:paraId="0CE6A036" w14:textId="77777777" w:rsidTr="000E3F08">
        <w:tc>
          <w:tcPr>
            <w:tcW w:w="2337" w:type="dxa"/>
          </w:tcPr>
          <w:p w14:paraId="14388C93" w14:textId="1A91D91B" w:rsidR="000E3F08" w:rsidRDefault="000E3F08" w:rsidP="000E3F08">
            <w:pPr>
              <w:rPr>
                <w:rFonts w:asciiTheme="majorHAnsi" w:hAnsiTheme="majorHAnsi" w:cs="Calibri"/>
              </w:rPr>
            </w:pPr>
            <w:r>
              <w:rPr>
                <w:rFonts w:asciiTheme="majorHAnsi" w:hAnsiTheme="majorHAnsi" w:cs="Calibri"/>
              </w:rPr>
              <w:t>Net Income</w:t>
            </w:r>
          </w:p>
        </w:tc>
        <w:tc>
          <w:tcPr>
            <w:tcW w:w="2337" w:type="dxa"/>
          </w:tcPr>
          <w:p w14:paraId="5875B24D" w14:textId="03095482"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$1,571,592.00</w:t>
            </w:r>
          </w:p>
        </w:tc>
        <w:tc>
          <w:tcPr>
            <w:tcW w:w="2338" w:type="dxa"/>
          </w:tcPr>
          <w:p w14:paraId="36461814" w14:textId="3B61F461"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$1,348,010.00</w:t>
            </w:r>
          </w:p>
        </w:tc>
        <w:tc>
          <w:tcPr>
            <w:tcW w:w="2338" w:type="dxa"/>
          </w:tcPr>
          <w:p w14:paraId="3A168484" w14:textId="4C462E10"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$1,235,757.00</w:t>
            </w:r>
          </w:p>
        </w:tc>
      </w:tr>
      <w:tr w:rsidR="000E3F08" w14:paraId="4F5609EF" w14:textId="77777777" w:rsidTr="000E3F08">
        <w:tc>
          <w:tcPr>
            <w:tcW w:w="2337" w:type="dxa"/>
          </w:tcPr>
          <w:p w14:paraId="069CEC72" w14:textId="46894E95" w:rsidR="000E3F08" w:rsidRDefault="000E3F08" w:rsidP="000E3F08">
            <w:pPr>
              <w:rPr>
                <w:rFonts w:asciiTheme="majorHAnsi" w:hAnsiTheme="majorHAnsi" w:cs="Calibri"/>
              </w:rPr>
            </w:pPr>
            <w:r>
              <w:rPr>
                <w:rFonts w:asciiTheme="majorHAnsi" w:hAnsiTheme="majorHAnsi" w:cs="Calibri"/>
              </w:rPr>
              <w:t>Dividends Net Loss</w:t>
            </w:r>
          </w:p>
        </w:tc>
        <w:tc>
          <w:tcPr>
            <w:tcW w:w="2337" w:type="dxa"/>
          </w:tcPr>
          <w:p w14:paraId="4D278710" w14:textId="6FD16F44"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-$530,909.00</w:t>
            </w:r>
          </w:p>
        </w:tc>
        <w:tc>
          <w:tcPr>
            <w:tcW w:w="2338" w:type="dxa"/>
          </w:tcPr>
          <w:p w14:paraId="00754CC1" w14:textId="28AB04D6"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-$449,917.00</w:t>
            </w:r>
          </w:p>
        </w:tc>
        <w:tc>
          <w:tcPr>
            <w:tcW w:w="2338" w:type="dxa"/>
          </w:tcPr>
          <w:p w14:paraId="2F0E36B8" w14:textId="582B50F5"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-$375,119.00</w:t>
            </w:r>
          </w:p>
        </w:tc>
      </w:tr>
      <w:tr w:rsidR="000E3F08" w14:paraId="159ABAFF" w14:textId="77777777" w:rsidTr="000E3F08">
        <w:tc>
          <w:tcPr>
            <w:tcW w:w="2337" w:type="dxa"/>
          </w:tcPr>
          <w:p w14:paraId="32C7FA0B" w14:textId="02273075" w:rsidR="000E3F08" w:rsidRDefault="000E3F08" w:rsidP="000E3F08">
            <w:pPr>
              <w:rPr>
                <w:rFonts w:asciiTheme="majorHAnsi" w:hAnsiTheme="majorHAnsi" w:cs="Calibri"/>
              </w:rPr>
            </w:pPr>
            <w:r>
              <w:rPr>
                <w:rFonts w:asciiTheme="majorHAnsi" w:hAnsiTheme="majorHAnsi" w:cs="Calibri"/>
              </w:rPr>
              <w:t>Funds Reinvested</w:t>
            </w:r>
          </w:p>
        </w:tc>
        <w:tc>
          <w:tcPr>
            <w:tcW w:w="2337" w:type="dxa"/>
          </w:tcPr>
          <w:p w14:paraId="3CD03C7B" w14:textId="06DCD095"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$1,121,675.00</w:t>
            </w:r>
          </w:p>
        </w:tc>
        <w:tc>
          <w:tcPr>
            <w:tcW w:w="2338" w:type="dxa"/>
          </w:tcPr>
          <w:p w14:paraId="1BAD1546" w14:textId="759126D5"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$972,891.00</w:t>
            </w:r>
          </w:p>
        </w:tc>
        <w:tc>
          <w:tcPr>
            <w:tcW w:w="2338" w:type="dxa"/>
          </w:tcPr>
          <w:p w14:paraId="5A15E90F" w14:textId="2AB7F124" w:rsidR="000E3F08" w:rsidRPr="000E3F08" w:rsidRDefault="000E3F08" w:rsidP="000E3F08">
            <w:pPr>
              <w:rPr>
                <w:rFonts w:ascii="Aptos Narrow" w:hAnsi="Aptos Narrow"/>
                <w:color w:val="000000"/>
                <w:sz w:val="22"/>
                <w:szCs w:val="22"/>
              </w:rPr>
            </w:pPr>
            <w:r>
              <w:rPr>
                <w:rFonts w:ascii="Aptos Narrow" w:hAnsi="Aptos Narrow"/>
                <w:color w:val="000000"/>
                <w:sz w:val="22"/>
                <w:szCs w:val="22"/>
              </w:rPr>
              <w:t>$784,430.00</w:t>
            </w:r>
          </w:p>
        </w:tc>
      </w:tr>
    </w:tbl>
    <w:p w14:paraId="248A669F" w14:textId="5E9051F9" w:rsidR="000E3F08" w:rsidRDefault="000E3F08" w:rsidP="000E3F08">
      <w:pPr>
        <w:pStyle w:val="Caption"/>
        <w:keepNext/>
        <w:jc w:val="center"/>
      </w:pPr>
      <w:r>
        <w:t>Table 3: Funds Reinvested</w:t>
      </w:r>
    </w:p>
    <w:p w14:paraId="521DCB31" w14:textId="77777777" w:rsidR="000E3F08" w:rsidRPr="000E3F08" w:rsidRDefault="000E3F08" w:rsidP="000E3F08">
      <w:pPr>
        <w:spacing w:line="240" w:lineRule="auto"/>
        <w:rPr>
          <w:rFonts w:asciiTheme="majorHAnsi" w:hAnsiTheme="majorHAnsi" w:cs="Calibri"/>
        </w:rPr>
      </w:pPr>
    </w:p>
    <w:p w14:paraId="04099DD4" w14:textId="7ACA4A4D" w:rsidR="000E3F08" w:rsidRPr="000E3F08" w:rsidRDefault="000E3F08" w:rsidP="000E3F08">
      <w:pPr>
        <w:spacing w:line="240" w:lineRule="auto"/>
        <w:jc w:val="center"/>
        <w:rPr>
          <w:rFonts w:asciiTheme="majorHAnsi" w:hAnsiTheme="majorHAnsi" w:cs="Calibri"/>
        </w:rPr>
      </w:pPr>
      <w:bookmarkStart w:id="16" w:name="_Toc197467534"/>
      <w:r>
        <w:rPr>
          <w:rStyle w:val="Heading2Char"/>
        </w:rPr>
        <w:t>III</w:t>
      </w:r>
      <w:r w:rsidRPr="000E3F08">
        <w:rPr>
          <w:rStyle w:val="Heading2Char"/>
        </w:rPr>
        <w:t>. Long-Term Debt Financing</w:t>
      </w:r>
      <w:bookmarkEnd w:id="16"/>
    </w:p>
    <w:p w14:paraId="7FF87F64" w14:textId="7A0256FF" w:rsidR="000E3F08" w:rsidRPr="000E3F08" w:rsidRDefault="000E3F08" w:rsidP="00C46D44">
      <w:pPr>
        <w:numPr>
          <w:ilvl w:val="0"/>
          <w:numId w:val="4"/>
        </w:numPr>
        <w:spacing w:line="240" w:lineRule="auto"/>
        <w:rPr>
          <w:rFonts w:asciiTheme="majorHAnsi" w:hAnsiTheme="majorHAnsi" w:cs="Calibri"/>
        </w:rPr>
      </w:pPr>
      <w:r w:rsidRPr="000E3F08">
        <w:rPr>
          <w:rFonts w:asciiTheme="majorHAnsi" w:hAnsiTheme="majorHAnsi" w:cs="Calibri"/>
        </w:rPr>
        <w:t xml:space="preserve">Fiscal Year 2022: </w:t>
      </w:r>
      <w:r w:rsidR="00C46D44">
        <w:rPr>
          <w:rFonts w:asciiTheme="majorHAnsi" w:hAnsiTheme="majorHAnsi" w:cs="Calibri"/>
        </w:rPr>
        <w:t>Cintas i</w:t>
      </w:r>
      <w:r w:rsidRPr="000E3F08">
        <w:rPr>
          <w:rFonts w:asciiTheme="majorHAnsi" w:hAnsiTheme="majorHAnsi" w:cs="Calibri"/>
        </w:rPr>
        <w:t>ssued $800 million in 4.00% senior notes due 2032</w:t>
      </w:r>
    </w:p>
    <w:p w14:paraId="7B3C1410" w14:textId="40D628B5" w:rsidR="000E3F08" w:rsidRPr="000E3F08" w:rsidRDefault="000E3F08" w:rsidP="00C46D44">
      <w:pPr>
        <w:numPr>
          <w:ilvl w:val="0"/>
          <w:numId w:val="4"/>
        </w:numPr>
        <w:spacing w:line="240" w:lineRule="auto"/>
        <w:rPr>
          <w:rFonts w:asciiTheme="majorHAnsi" w:hAnsiTheme="majorHAnsi" w:cs="Calibri"/>
        </w:rPr>
      </w:pPr>
      <w:r w:rsidRPr="000E3F08">
        <w:rPr>
          <w:rFonts w:asciiTheme="majorHAnsi" w:hAnsiTheme="majorHAnsi" w:cs="Calibri"/>
        </w:rPr>
        <w:t xml:space="preserve">Fiscal Year 2023: </w:t>
      </w:r>
      <w:r w:rsidR="00C46D44">
        <w:rPr>
          <w:rFonts w:asciiTheme="majorHAnsi" w:hAnsiTheme="majorHAnsi" w:cs="Calibri"/>
        </w:rPr>
        <w:t>Cintas r</w:t>
      </w:r>
      <w:r w:rsidRPr="000E3F08">
        <w:rPr>
          <w:rFonts w:asciiTheme="majorHAnsi" w:hAnsiTheme="majorHAnsi" w:cs="Calibri"/>
        </w:rPr>
        <w:t>epaid $50 million of 3.73% senior notes upon maturit</w:t>
      </w:r>
      <w:r w:rsidR="00C46D44">
        <w:rPr>
          <w:rFonts w:asciiTheme="majorHAnsi" w:hAnsiTheme="majorHAnsi" w:cs="Calibri"/>
        </w:rPr>
        <w:t>y</w:t>
      </w:r>
    </w:p>
    <w:p w14:paraId="4ADAAA04" w14:textId="2DFFC406" w:rsidR="000E3F08" w:rsidRPr="000E3F08" w:rsidRDefault="000E3F08" w:rsidP="00C46D44">
      <w:pPr>
        <w:numPr>
          <w:ilvl w:val="0"/>
          <w:numId w:val="4"/>
        </w:numPr>
        <w:spacing w:line="240" w:lineRule="auto"/>
        <w:rPr>
          <w:rFonts w:asciiTheme="majorHAnsi" w:hAnsiTheme="majorHAnsi" w:cs="Calibri"/>
        </w:rPr>
      </w:pPr>
      <w:r w:rsidRPr="000E3F08">
        <w:rPr>
          <w:rFonts w:asciiTheme="majorHAnsi" w:hAnsiTheme="majorHAnsi" w:cs="Calibri"/>
        </w:rPr>
        <w:t xml:space="preserve">Fiscal Year 2024: </w:t>
      </w:r>
      <w:r w:rsidR="00C46D44">
        <w:rPr>
          <w:rFonts w:asciiTheme="majorHAnsi" w:hAnsiTheme="majorHAnsi" w:cs="Calibri"/>
        </w:rPr>
        <w:t>Cintas r</w:t>
      </w:r>
      <w:r w:rsidRPr="000E3F08">
        <w:rPr>
          <w:rFonts w:asciiTheme="majorHAnsi" w:hAnsiTheme="majorHAnsi" w:cs="Calibri"/>
        </w:rPr>
        <w:t>epurchased $13.5 million of 6.15% senior notes</w:t>
      </w:r>
    </w:p>
    <w:p w14:paraId="41B92D33" w14:textId="617FF25C" w:rsidR="000E3F08" w:rsidRDefault="00C46D44" w:rsidP="00C46D44">
      <w:pPr>
        <w:spacing w:line="240" w:lineRule="auto"/>
        <w:rPr>
          <w:rFonts w:asciiTheme="majorHAnsi" w:hAnsiTheme="majorHAnsi" w:cs="Calibri"/>
        </w:rPr>
      </w:pPr>
      <w:r>
        <w:rPr>
          <w:rFonts w:asciiTheme="majorHAnsi" w:hAnsiTheme="majorHAnsi" w:cs="Calibri"/>
        </w:rPr>
        <w:t>Cintas</w:t>
      </w:r>
      <w:r w:rsidR="000E3F08" w:rsidRPr="000E3F08">
        <w:rPr>
          <w:rFonts w:asciiTheme="majorHAnsi" w:hAnsiTheme="majorHAnsi" w:cs="Calibri"/>
        </w:rPr>
        <w:t xml:space="preserve"> ha</w:t>
      </w:r>
      <w:r>
        <w:rPr>
          <w:rFonts w:asciiTheme="majorHAnsi" w:hAnsiTheme="majorHAnsi" w:cs="Calibri"/>
        </w:rPr>
        <w:t>s</w:t>
      </w:r>
      <w:r w:rsidR="000E3F08" w:rsidRPr="000E3F08">
        <w:rPr>
          <w:rFonts w:asciiTheme="majorHAnsi" w:hAnsiTheme="majorHAnsi" w:cs="Calibri"/>
        </w:rPr>
        <w:t xml:space="preserve"> total long-term debt of approximately $2.03 billion, down from $2.49 billion in the previous year.</w:t>
      </w:r>
    </w:p>
    <w:p w14:paraId="70713FDC" w14:textId="77777777" w:rsidR="00C46D44" w:rsidRDefault="00C46D44" w:rsidP="00C46D44">
      <w:pPr>
        <w:spacing w:line="240" w:lineRule="auto"/>
        <w:rPr>
          <w:rFonts w:asciiTheme="majorHAnsi" w:hAnsiTheme="majorHAnsi" w:cs="Calibri"/>
        </w:rPr>
      </w:pPr>
    </w:p>
    <w:p w14:paraId="54D462E5" w14:textId="77777777" w:rsidR="005D299D" w:rsidRDefault="005D299D" w:rsidP="00C46D44">
      <w:pPr>
        <w:spacing w:line="240" w:lineRule="auto"/>
        <w:rPr>
          <w:rFonts w:asciiTheme="majorHAnsi" w:hAnsiTheme="majorHAnsi" w:cs="Calibri"/>
        </w:rPr>
      </w:pPr>
    </w:p>
    <w:p w14:paraId="02AA5EB1" w14:textId="77777777" w:rsidR="005D299D" w:rsidRDefault="005D299D" w:rsidP="00C46D44">
      <w:pPr>
        <w:spacing w:line="240" w:lineRule="auto"/>
        <w:rPr>
          <w:rFonts w:asciiTheme="majorHAnsi" w:hAnsiTheme="majorHAnsi" w:cs="Calibri"/>
        </w:rPr>
      </w:pPr>
    </w:p>
    <w:p w14:paraId="4BE7A885" w14:textId="77777777" w:rsidR="005D299D" w:rsidRDefault="005D299D" w:rsidP="00C46D44">
      <w:pPr>
        <w:spacing w:line="240" w:lineRule="auto"/>
        <w:rPr>
          <w:rFonts w:asciiTheme="majorHAnsi" w:hAnsiTheme="majorHAnsi" w:cs="Calibri"/>
        </w:rPr>
      </w:pPr>
    </w:p>
    <w:p w14:paraId="300B4E84" w14:textId="77777777" w:rsidR="00C46D44" w:rsidRPr="000E3F08" w:rsidRDefault="00C46D44" w:rsidP="00C46D44">
      <w:pPr>
        <w:spacing w:line="240" w:lineRule="auto"/>
        <w:rPr>
          <w:rFonts w:asciiTheme="majorHAnsi" w:hAnsiTheme="majorHAnsi" w:cs="Calibri"/>
        </w:rPr>
      </w:pPr>
    </w:p>
    <w:p w14:paraId="00AEE7DE" w14:textId="70E06BCB" w:rsidR="00C46D44" w:rsidRDefault="00C46D44" w:rsidP="00C46D44">
      <w:pPr>
        <w:spacing w:line="240" w:lineRule="auto"/>
        <w:jc w:val="center"/>
        <w:rPr>
          <w:rStyle w:val="Heading2Char"/>
        </w:rPr>
      </w:pPr>
      <w:bookmarkStart w:id="17" w:name="_Toc197467535"/>
      <w:r>
        <w:rPr>
          <w:rStyle w:val="Heading2Char"/>
        </w:rPr>
        <w:lastRenderedPageBreak/>
        <w:t xml:space="preserve">II. </w:t>
      </w:r>
      <w:r w:rsidR="000E3F08" w:rsidRPr="000E3F08">
        <w:rPr>
          <w:rStyle w:val="Heading2Char"/>
        </w:rPr>
        <w:t>Equity Financing</w:t>
      </w:r>
      <w:bookmarkEnd w:id="17"/>
    </w:p>
    <w:p w14:paraId="7807DDE2" w14:textId="6392657E" w:rsidR="000E3F08" w:rsidRPr="00C46D44" w:rsidRDefault="000E3F08" w:rsidP="00C46D44">
      <w:pPr>
        <w:spacing w:line="240" w:lineRule="auto"/>
        <w:rPr>
          <w:rFonts w:asciiTheme="majorHAnsi" w:hAnsiTheme="majorHAnsi" w:cs="Calibri"/>
        </w:rPr>
      </w:pPr>
      <w:r w:rsidRPr="00C46D44">
        <w:rPr>
          <w:rFonts w:asciiTheme="majorHAnsi" w:hAnsiTheme="majorHAnsi" w:cs="Calibri"/>
        </w:rPr>
        <w:br/>
        <w:t>Cintas has not issued new equity as a source of capital in the past three fiscal years, aside from shares issued for employee compensation purposes. The company has instead focused on returning value to shareholders through dividends and share repurchases</w:t>
      </w:r>
      <w:r w:rsidR="00C46D44" w:rsidRPr="00C46D44">
        <w:rPr>
          <w:rFonts w:asciiTheme="majorHAnsi" w:hAnsiTheme="majorHAnsi" w:cs="Calibri"/>
        </w:rPr>
        <w:t>:</w:t>
      </w:r>
    </w:p>
    <w:p w14:paraId="60D81791" w14:textId="77777777" w:rsidR="000E3F08" w:rsidRPr="000E3F08" w:rsidRDefault="000E3F08" w:rsidP="000E3F08">
      <w:pPr>
        <w:spacing w:line="240" w:lineRule="auto"/>
        <w:jc w:val="center"/>
        <w:rPr>
          <w:rFonts w:asciiTheme="majorHAnsi" w:hAnsiTheme="majorHAnsi" w:cs="Calibri"/>
          <w:u w:val="single"/>
        </w:rPr>
      </w:pPr>
      <w:r w:rsidRPr="000E3F08">
        <w:rPr>
          <w:rFonts w:asciiTheme="majorHAnsi" w:hAnsiTheme="majorHAnsi" w:cs="Calibri"/>
          <w:u w:val="single"/>
        </w:rPr>
        <w:t>Payout Activities</w:t>
      </w:r>
    </w:p>
    <w:p w14:paraId="5D0D083D" w14:textId="1209551E" w:rsidR="000E3F08" w:rsidRPr="000E3F08" w:rsidRDefault="000E3F08" w:rsidP="000E3F08">
      <w:pPr>
        <w:spacing w:line="240" w:lineRule="auto"/>
        <w:jc w:val="center"/>
        <w:rPr>
          <w:rFonts w:asciiTheme="majorHAnsi" w:hAnsiTheme="majorHAnsi" w:cs="Calibri"/>
        </w:rPr>
      </w:pPr>
      <w:r w:rsidRPr="000E3F08">
        <w:rPr>
          <w:rFonts w:asciiTheme="majorHAnsi" w:hAnsiTheme="majorHAnsi" w:cs="Calibri"/>
        </w:rPr>
        <w:t>Dividends</w:t>
      </w:r>
      <w:r w:rsidR="00926A49">
        <w:rPr>
          <w:rFonts w:asciiTheme="majorHAnsi" w:hAnsiTheme="majorHAnsi" w:cs="Calibri"/>
        </w:rPr>
        <w:t>:</w:t>
      </w:r>
    </w:p>
    <w:p w14:paraId="580201F2" w14:textId="7141C9EC" w:rsidR="000E3F08" w:rsidRPr="000E3F08" w:rsidRDefault="000E3F08" w:rsidP="00C46D44">
      <w:pPr>
        <w:numPr>
          <w:ilvl w:val="0"/>
          <w:numId w:val="5"/>
        </w:numPr>
        <w:spacing w:line="240" w:lineRule="auto"/>
        <w:rPr>
          <w:rFonts w:asciiTheme="majorHAnsi" w:hAnsiTheme="majorHAnsi" w:cs="Calibri"/>
        </w:rPr>
      </w:pPr>
      <w:r w:rsidRPr="000E3F08">
        <w:rPr>
          <w:rFonts w:asciiTheme="majorHAnsi" w:hAnsiTheme="majorHAnsi" w:cs="Calibri"/>
        </w:rPr>
        <w:t xml:space="preserve">Fiscal Year 2022: </w:t>
      </w:r>
      <w:r w:rsidR="00C46D44" w:rsidRPr="00926A49">
        <w:rPr>
          <w:rFonts w:asciiTheme="majorHAnsi" w:hAnsiTheme="majorHAnsi" w:cs="Calibri"/>
        </w:rPr>
        <w:t>Cintas p</w:t>
      </w:r>
      <w:r w:rsidRPr="000E3F08">
        <w:rPr>
          <w:rFonts w:asciiTheme="majorHAnsi" w:hAnsiTheme="majorHAnsi" w:cs="Calibri"/>
        </w:rPr>
        <w:t>aid a total dividend of $3.80 per share</w:t>
      </w:r>
    </w:p>
    <w:p w14:paraId="60118F6F" w14:textId="65EA86C9" w:rsidR="000E3F08" w:rsidRPr="000E3F08" w:rsidRDefault="000E3F08" w:rsidP="00C46D44">
      <w:pPr>
        <w:numPr>
          <w:ilvl w:val="0"/>
          <w:numId w:val="5"/>
        </w:numPr>
        <w:spacing w:line="240" w:lineRule="auto"/>
        <w:rPr>
          <w:rFonts w:asciiTheme="majorHAnsi" w:hAnsiTheme="majorHAnsi" w:cs="Calibri"/>
        </w:rPr>
      </w:pPr>
      <w:r w:rsidRPr="000E3F08">
        <w:rPr>
          <w:rFonts w:asciiTheme="majorHAnsi" w:hAnsiTheme="majorHAnsi" w:cs="Calibri"/>
        </w:rPr>
        <w:t xml:space="preserve">Fiscal Year 2023: </w:t>
      </w:r>
      <w:r w:rsidR="00C46D44" w:rsidRPr="00926A49">
        <w:rPr>
          <w:rFonts w:asciiTheme="majorHAnsi" w:hAnsiTheme="majorHAnsi" w:cs="Calibri"/>
        </w:rPr>
        <w:t>Cintas Corporation i</w:t>
      </w:r>
      <w:r w:rsidRPr="000E3F08">
        <w:rPr>
          <w:rFonts w:asciiTheme="majorHAnsi" w:hAnsiTheme="majorHAnsi" w:cs="Calibri"/>
        </w:rPr>
        <w:t>ncreased to $4.60 per share</w:t>
      </w:r>
    </w:p>
    <w:p w14:paraId="1CB86C18" w14:textId="610203F5" w:rsidR="000E3F08" w:rsidRPr="000E3F08" w:rsidRDefault="000E3F08" w:rsidP="00C46D44">
      <w:pPr>
        <w:numPr>
          <w:ilvl w:val="0"/>
          <w:numId w:val="5"/>
        </w:numPr>
        <w:spacing w:line="240" w:lineRule="auto"/>
        <w:rPr>
          <w:rFonts w:asciiTheme="majorHAnsi" w:hAnsiTheme="majorHAnsi" w:cs="Calibri"/>
        </w:rPr>
      </w:pPr>
      <w:r w:rsidRPr="000E3F08">
        <w:rPr>
          <w:rFonts w:asciiTheme="majorHAnsi" w:hAnsiTheme="majorHAnsi" w:cs="Calibri"/>
        </w:rPr>
        <w:t xml:space="preserve">Fiscal Year 2024: </w:t>
      </w:r>
      <w:r w:rsidR="00C46D44" w:rsidRPr="00926A49">
        <w:rPr>
          <w:rFonts w:asciiTheme="majorHAnsi" w:hAnsiTheme="majorHAnsi" w:cs="Calibri"/>
        </w:rPr>
        <w:t>Cintas Corporation</w:t>
      </w:r>
      <w:r w:rsidRPr="000E3F08">
        <w:rPr>
          <w:rFonts w:asciiTheme="majorHAnsi" w:hAnsiTheme="majorHAnsi" w:cs="Calibri"/>
        </w:rPr>
        <w:t xml:space="preserve"> increased to $5.</w:t>
      </w:r>
      <w:r w:rsidR="00C46D44" w:rsidRPr="00926A49">
        <w:rPr>
          <w:rFonts w:asciiTheme="majorHAnsi" w:hAnsiTheme="majorHAnsi" w:cs="Calibri"/>
        </w:rPr>
        <w:t>4</w:t>
      </w:r>
      <w:r w:rsidRPr="000E3F08">
        <w:rPr>
          <w:rFonts w:asciiTheme="majorHAnsi" w:hAnsiTheme="majorHAnsi" w:cs="Calibri"/>
        </w:rPr>
        <w:t>0 per share</w:t>
      </w:r>
    </w:p>
    <w:p w14:paraId="6A17953B" w14:textId="7FCD4567" w:rsidR="000E3F08" w:rsidRPr="000E3F08" w:rsidRDefault="00C46D44" w:rsidP="00C46D44">
      <w:pPr>
        <w:spacing w:line="240" w:lineRule="auto"/>
        <w:rPr>
          <w:rFonts w:asciiTheme="majorHAnsi" w:hAnsiTheme="majorHAnsi" w:cs="Calibri"/>
        </w:rPr>
      </w:pPr>
      <w:r w:rsidRPr="00926A49">
        <w:rPr>
          <w:rFonts w:asciiTheme="majorHAnsi" w:hAnsiTheme="majorHAnsi" w:cs="Calibri"/>
        </w:rPr>
        <w:t>Total</w:t>
      </w:r>
      <w:r w:rsidR="000E3F08" w:rsidRPr="000E3F08">
        <w:rPr>
          <w:rFonts w:asciiTheme="majorHAnsi" w:hAnsiTheme="majorHAnsi" w:cs="Calibri"/>
        </w:rPr>
        <w:t xml:space="preserve"> cash dividends paid were $</w:t>
      </w:r>
      <w:r w:rsidRPr="00926A49">
        <w:rPr>
          <w:rFonts w:asciiTheme="majorHAnsi" w:hAnsiTheme="majorHAnsi" w:cs="Calibri"/>
        </w:rPr>
        <w:t>530,909,000</w:t>
      </w:r>
      <w:r w:rsidR="000E3F08" w:rsidRPr="000E3F08">
        <w:rPr>
          <w:rFonts w:asciiTheme="majorHAnsi" w:hAnsiTheme="majorHAnsi" w:cs="Calibri"/>
        </w:rPr>
        <w:t xml:space="preserve"> in 2022, $</w:t>
      </w:r>
      <w:r w:rsidR="00926A49" w:rsidRPr="00926A49">
        <w:rPr>
          <w:rFonts w:asciiTheme="majorHAnsi" w:hAnsiTheme="majorHAnsi" w:cs="Calibri"/>
        </w:rPr>
        <w:t>449,917,000</w:t>
      </w:r>
      <w:r w:rsidR="000E3F08" w:rsidRPr="000E3F08">
        <w:rPr>
          <w:rFonts w:asciiTheme="majorHAnsi" w:hAnsiTheme="majorHAnsi" w:cs="Calibri"/>
        </w:rPr>
        <w:t xml:space="preserve"> in 2023, and $</w:t>
      </w:r>
      <w:r w:rsidR="00926A49" w:rsidRPr="00926A49">
        <w:rPr>
          <w:rFonts w:asciiTheme="majorHAnsi" w:hAnsiTheme="majorHAnsi" w:cs="Calibri"/>
        </w:rPr>
        <w:t>375,119,000</w:t>
      </w:r>
      <w:r w:rsidR="000E3F08" w:rsidRPr="000E3F08">
        <w:rPr>
          <w:rFonts w:asciiTheme="majorHAnsi" w:hAnsiTheme="majorHAnsi" w:cs="Calibri"/>
        </w:rPr>
        <w:t xml:space="preserve"> in 2024.</w:t>
      </w:r>
    </w:p>
    <w:p w14:paraId="25C4E156" w14:textId="59BEAB66" w:rsidR="000E3F08" w:rsidRPr="000E3F08" w:rsidRDefault="000E3F08" w:rsidP="00926A49">
      <w:pPr>
        <w:spacing w:line="240" w:lineRule="auto"/>
        <w:jc w:val="center"/>
        <w:rPr>
          <w:rFonts w:asciiTheme="majorHAnsi" w:hAnsiTheme="majorHAnsi" w:cs="Calibri"/>
        </w:rPr>
      </w:pPr>
      <w:r w:rsidRPr="000E3F08">
        <w:rPr>
          <w:rFonts w:asciiTheme="majorHAnsi" w:hAnsiTheme="majorHAnsi" w:cs="Calibri"/>
        </w:rPr>
        <w:t>Share Repurchases</w:t>
      </w:r>
      <w:r w:rsidR="00AD7F58">
        <w:rPr>
          <w:rFonts w:asciiTheme="majorHAnsi" w:hAnsiTheme="majorHAnsi" w:cs="Calibri"/>
        </w:rPr>
        <w:t>:</w:t>
      </w:r>
    </w:p>
    <w:p w14:paraId="0BEF59EC" w14:textId="6542424B" w:rsidR="000B620F" w:rsidRDefault="00926A49" w:rsidP="00926A49">
      <w:pPr>
        <w:pStyle w:val="ListParagraph"/>
        <w:numPr>
          <w:ilvl w:val="0"/>
          <w:numId w:val="8"/>
        </w:numPr>
        <w:spacing w:line="240" w:lineRule="auto"/>
        <w:rPr>
          <w:rFonts w:asciiTheme="majorHAnsi" w:hAnsiTheme="majorHAnsi" w:cs="Calibri"/>
        </w:rPr>
      </w:pPr>
      <w:r w:rsidRPr="00926A49">
        <w:rPr>
          <w:rFonts w:asciiTheme="majorHAnsi" w:hAnsiTheme="majorHAnsi" w:cs="Calibri"/>
        </w:rPr>
        <w:t>On July 26, 2022, Cintas announced that the Board authorized a new</w:t>
      </w:r>
      <w:r>
        <w:rPr>
          <w:rFonts w:asciiTheme="majorHAnsi" w:hAnsiTheme="majorHAnsi" w:cs="Calibri"/>
        </w:rPr>
        <w:t xml:space="preserve"> </w:t>
      </w:r>
      <w:r w:rsidRPr="00926A49">
        <w:rPr>
          <w:rFonts w:asciiTheme="majorHAnsi" w:hAnsiTheme="majorHAnsi" w:cs="Calibri"/>
        </w:rPr>
        <w:t>$1.0 billion share buyback program, which does not have an expiration date</w:t>
      </w:r>
    </w:p>
    <w:p w14:paraId="54404552" w14:textId="77777777" w:rsidR="00D7337F" w:rsidRPr="00926A49" w:rsidRDefault="00D7337F" w:rsidP="00D7337F">
      <w:pPr>
        <w:pStyle w:val="ListParagraph"/>
        <w:spacing w:line="240" w:lineRule="auto"/>
        <w:rPr>
          <w:rFonts w:asciiTheme="majorHAnsi" w:hAnsiTheme="majorHAnsi" w:cs="Calibri"/>
        </w:rPr>
      </w:pPr>
    </w:p>
    <w:p w14:paraId="18261DA1" w14:textId="77F05A4C" w:rsidR="000B620F" w:rsidRPr="00D7337F" w:rsidRDefault="00D7337F" w:rsidP="00D7337F">
      <w:pPr>
        <w:pStyle w:val="ListParagraph"/>
        <w:numPr>
          <w:ilvl w:val="0"/>
          <w:numId w:val="8"/>
        </w:numPr>
        <w:spacing w:line="240" w:lineRule="auto"/>
        <w:rPr>
          <w:rFonts w:asciiTheme="majorHAnsi" w:hAnsiTheme="majorHAnsi" w:cs="Calibri"/>
        </w:rPr>
      </w:pPr>
      <w:r w:rsidRPr="00D7337F">
        <w:rPr>
          <w:rFonts w:asciiTheme="majorHAnsi" w:hAnsiTheme="majorHAnsi" w:cs="Calibri"/>
        </w:rPr>
        <w:t xml:space="preserve">On July 27, 2021, </w:t>
      </w:r>
      <w:r>
        <w:rPr>
          <w:rFonts w:asciiTheme="majorHAnsi" w:hAnsiTheme="majorHAnsi" w:cs="Calibri"/>
        </w:rPr>
        <w:t>Cintas</w:t>
      </w:r>
      <w:r w:rsidRPr="00D7337F">
        <w:rPr>
          <w:rFonts w:asciiTheme="majorHAnsi" w:hAnsiTheme="majorHAnsi" w:cs="Calibri"/>
        </w:rPr>
        <w:t xml:space="preserve"> announced the Board authorized a $1.5 billion share buyback program, which was completed during the fourth quarter of fiscal 2024.</w:t>
      </w:r>
      <w:r>
        <w:rPr>
          <w:rFonts w:asciiTheme="majorHAnsi" w:hAnsiTheme="majorHAnsi" w:cs="Calibri"/>
        </w:rPr>
        <w:br/>
      </w:r>
    </w:p>
    <w:p w14:paraId="7CD9A3FB" w14:textId="1B53D853" w:rsidR="00D7337F" w:rsidRPr="00D7337F" w:rsidRDefault="00D7337F" w:rsidP="00D7337F">
      <w:pPr>
        <w:pStyle w:val="ListParagraph"/>
        <w:numPr>
          <w:ilvl w:val="0"/>
          <w:numId w:val="8"/>
        </w:numPr>
        <w:spacing w:line="240" w:lineRule="auto"/>
        <w:rPr>
          <w:rFonts w:asciiTheme="majorHAnsi" w:hAnsiTheme="majorHAnsi" w:cs="Calibri"/>
        </w:rPr>
      </w:pPr>
      <w:r w:rsidRPr="00D7337F">
        <w:rPr>
          <w:rFonts w:asciiTheme="majorHAnsi" w:hAnsiTheme="majorHAnsi" w:cs="Calibri"/>
        </w:rPr>
        <w:t xml:space="preserve">From the inception of </w:t>
      </w:r>
      <w:proofErr w:type="gramStart"/>
      <w:r w:rsidRPr="00D7337F">
        <w:rPr>
          <w:rFonts w:asciiTheme="majorHAnsi" w:hAnsiTheme="majorHAnsi" w:cs="Calibri"/>
        </w:rPr>
        <w:t>the July</w:t>
      </w:r>
      <w:proofErr w:type="gramEnd"/>
      <w:r w:rsidRPr="00D7337F">
        <w:rPr>
          <w:rFonts w:asciiTheme="majorHAnsi" w:hAnsiTheme="majorHAnsi" w:cs="Calibri"/>
        </w:rPr>
        <w:t xml:space="preserve"> 26, </w:t>
      </w:r>
      <w:proofErr w:type="gramStart"/>
      <w:r w:rsidRPr="00D7337F">
        <w:rPr>
          <w:rFonts w:asciiTheme="majorHAnsi" w:hAnsiTheme="majorHAnsi" w:cs="Calibri"/>
        </w:rPr>
        <w:t>2022</w:t>
      </w:r>
      <w:proofErr w:type="gramEnd"/>
      <w:r w:rsidRPr="00D7337F">
        <w:rPr>
          <w:rFonts w:asciiTheme="majorHAnsi" w:hAnsiTheme="majorHAnsi" w:cs="Calibri"/>
        </w:rPr>
        <w:t xml:space="preserve"> share buyback program through July 25, 2024, Cintas has</w:t>
      </w:r>
      <w:r>
        <w:rPr>
          <w:rFonts w:asciiTheme="majorHAnsi" w:hAnsiTheme="majorHAnsi" w:cs="Calibri"/>
        </w:rPr>
        <w:t xml:space="preserve"> </w:t>
      </w:r>
      <w:r w:rsidRPr="00D7337F">
        <w:rPr>
          <w:rFonts w:asciiTheme="majorHAnsi" w:hAnsiTheme="majorHAnsi" w:cs="Calibri"/>
        </w:rPr>
        <w:t>purchased 0.8 million shares of Cintas common stock in the aggregate, at a</w:t>
      </w:r>
      <w:r>
        <w:rPr>
          <w:rFonts w:asciiTheme="majorHAnsi" w:hAnsiTheme="majorHAnsi" w:cs="Calibri"/>
        </w:rPr>
        <w:t xml:space="preserve">n </w:t>
      </w:r>
      <w:r w:rsidRPr="00D7337F">
        <w:rPr>
          <w:rFonts w:asciiTheme="majorHAnsi" w:hAnsiTheme="majorHAnsi" w:cs="Calibri"/>
        </w:rPr>
        <w:t>average price of $691.40 per share,</w:t>
      </w:r>
      <w:r>
        <w:rPr>
          <w:rFonts w:asciiTheme="majorHAnsi" w:hAnsiTheme="majorHAnsi" w:cs="Calibri"/>
        </w:rPr>
        <w:t xml:space="preserve"> </w:t>
      </w:r>
      <w:r w:rsidRPr="00D7337F">
        <w:rPr>
          <w:rFonts w:asciiTheme="majorHAnsi" w:hAnsiTheme="majorHAnsi" w:cs="Calibri"/>
        </w:rPr>
        <w:t>for a total purchase price of $530.7 million.</w:t>
      </w:r>
    </w:p>
    <w:p w14:paraId="2CAFF097" w14:textId="77777777" w:rsidR="000B620F" w:rsidRPr="00AE1725" w:rsidRDefault="000B620F" w:rsidP="00AE1725">
      <w:pPr>
        <w:spacing w:line="240" w:lineRule="auto"/>
        <w:jc w:val="center"/>
        <w:rPr>
          <w:rFonts w:asciiTheme="majorHAnsi" w:hAnsiTheme="majorHAnsi" w:cs="Calibri"/>
        </w:rPr>
      </w:pPr>
    </w:p>
    <w:p w14:paraId="459CBEC9" w14:textId="77777777" w:rsidR="000B620F" w:rsidRPr="00AE1725" w:rsidRDefault="000B620F" w:rsidP="00AE1725">
      <w:pPr>
        <w:spacing w:line="240" w:lineRule="auto"/>
        <w:jc w:val="center"/>
        <w:rPr>
          <w:rFonts w:asciiTheme="majorHAnsi" w:hAnsiTheme="majorHAnsi" w:cs="Calibri"/>
        </w:rPr>
      </w:pPr>
    </w:p>
    <w:p w14:paraId="7B3C233F" w14:textId="77777777" w:rsidR="000B620F" w:rsidRDefault="000B620F" w:rsidP="00AE1725">
      <w:pPr>
        <w:spacing w:line="240" w:lineRule="auto"/>
        <w:jc w:val="center"/>
        <w:rPr>
          <w:rFonts w:asciiTheme="majorHAnsi" w:hAnsiTheme="majorHAnsi" w:cs="Calibri"/>
        </w:rPr>
      </w:pPr>
    </w:p>
    <w:p w14:paraId="3914E377" w14:textId="77777777" w:rsidR="00AD7F58" w:rsidRDefault="00AD7F58" w:rsidP="00AE1725">
      <w:pPr>
        <w:spacing w:line="240" w:lineRule="auto"/>
        <w:jc w:val="center"/>
        <w:rPr>
          <w:rFonts w:asciiTheme="majorHAnsi" w:hAnsiTheme="majorHAnsi" w:cs="Calibri"/>
        </w:rPr>
      </w:pPr>
    </w:p>
    <w:p w14:paraId="19581E50" w14:textId="77777777" w:rsidR="00AD7F58" w:rsidRDefault="00AD7F58" w:rsidP="00AE1725">
      <w:pPr>
        <w:spacing w:line="240" w:lineRule="auto"/>
        <w:jc w:val="center"/>
        <w:rPr>
          <w:rFonts w:asciiTheme="majorHAnsi" w:hAnsiTheme="majorHAnsi" w:cs="Calibri"/>
        </w:rPr>
      </w:pPr>
    </w:p>
    <w:p w14:paraId="772114AD" w14:textId="77777777" w:rsidR="00AD7F58" w:rsidRDefault="00AD7F58" w:rsidP="00AE1725">
      <w:pPr>
        <w:spacing w:line="240" w:lineRule="auto"/>
        <w:jc w:val="center"/>
        <w:rPr>
          <w:rFonts w:asciiTheme="majorHAnsi" w:hAnsiTheme="majorHAnsi" w:cs="Calibri"/>
        </w:rPr>
      </w:pPr>
    </w:p>
    <w:p w14:paraId="1F209CDA" w14:textId="77777777" w:rsidR="00AD7F58" w:rsidRDefault="00AD7F58" w:rsidP="00AE1725">
      <w:pPr>
        <w:spacing w:line="240" w:lineRule="auto"/>
        <w:jc w:val="center"/>
        <w:rPr>
          <w:rFonts w:asciiTheme="majorHAnsi" w:hAnsiTheme="majorHAnsi" w:cs="Calibri"/>
        </w:rPr>
      </w:pPr>
    </w:p>
    <w:p w14:paraId="21F130E7" w14:textId="77777777" w:rsidR="00AD7F58" w:rsidRDefault="00AD7F58" w:rsidP="00AE1725">
      <w:pPr>
        <w:spacing w:line="240" w:lineRule="auto"/>
        <w:jc w:val="center"/>
        <w:rPr>
          <w:rFonts w:asciiTheme="majorHAnsi" w:hAnsiTheme="majorHAnsi" w:cs="Calibri"/>
        </w:rPr>
      </w:pPr>
    </w:p>
    <w:p w14:paraId="0C45C1A5" w14:textId="77777777" w:rsidR="00AD7F58" w:rsidRDefault="00AD7F58" w:rsidP="00AE1725">
      <w:pPr>
        <w:spacing w:line="240" w:lineRule="auto"/>
        <w:jc w:val="center"/>
        <w:rPr>
          <w:rFonts w:asciiTheme="majorHAnsi" w:hAnsiTheme="majorHAnsi" w:cs="Calibri"/>
        </w:rPr>
      </w:pPr>
    </w:p>
    <w:p w14:paraId="4C83C685" w14:textId="77777777" w:rsidR="00AD7F58" w:rsidRDefault="00AD7F58" w:rsidP="00B73121">
      <w:pPr>
        <w:spacing w:line="240" w:lineRule="auto"/>
        <w:rPr>
          <w:rFonts w:asciiTheme="majorHAnsi" w:hAnsiTheme="majorHAnsi" w:cs="Calibri"/>
        </w:rPr>
      </w:pPr>
    </w:p>
    <w:p w14:paraId="4C2D0116" w14:textId="77777777" w:rsidR="005D299D" w:rsidRDefault="005D299D" w:rsidP="00AE1725">
      <w:pPr>
        <w:spacing w:line="240" w:lineRule="auto"/>
        <w:jc w:val="center"/>
        <w:rPr>
          <w:rFonts w:asciiTheme="majorHAnsi" w:hAnsiTheme="majorHAnsi" w:cs="Calibri"/>
        </w:rPr>
      </w:pPr>
    </w:p>
    <w:p w14:paraId="6958B953" w14:textId="0884E062" w:rsidR="00AD7F58" w:rsidRDefault="00AD7F58" w:rsidP="00AD7F58">
      <w:pPr>
        <w:pStyle w:val="Heading2"/>
        <w:jc w:val="center"/>
      </w:pPr>
      <w:r>
        <w:t xml:space="preserve">Section 5: </w:t>
      </w:r>
      <w:r w:rsidR="00B73121">
        <w:t>Bibliography</w:t>
      </w:r>
      <w:r>
        <w:br/>
      </w:r>
    </w:p>
    <w:p w14:paraId="6C4ECFEF" w14:textId="7613D7C0" w:rsidR="00AD7F58" w:rsidRPr="00AD7F58" w:rsidRDefault="00AD7F58" w:rsidP="00AD7F58">
      <w:r>
        <w:t xml:space="preserve">   </w:t>
      </w:r>
      <w:r w:rsidRPr="00AD7F58">
        <w:t xml:space="preserve">[1] </w:t>
      </w:r>
      <w:proofErr w:type="gramStart"/>
      <w:r>
        <w:t xml:space="preserve">   </w:t>
      </w:r>
      <w:r w:rsidRPr="00AD7F58">
        <w:t>“</w:t>
      </w:r>
      <w:proofErr w:type="gramEnd"/>
      <w:r w:rsidRPr="00AD7F58">
        <w:t>Cintas Home Page,” Default, https://www.cintas.com/ (accessed May 6, 2025).</w:t>
      </w:r>
      <w:r>
        <w:br/>
      </w:r>
    </w:p>
    <w:p w14:paraId="23CB8196" w14:textId="49BD85F8" w:rsidR="00AD7F58" w:rsidRPr="00AD7F58" w:rsidRDefault="00AD7F58" w:rsidP="00AD7F58">
      <w:r>
        <w:t xml:space="preserve">   </w:t>
      </w:r>
      <w:r w:rsidRPr="00AD7F58">
        <w:t>[</w:t>
      </w:r>
      <w:r>
        <w:t>2</w:t>
      </w:r>
      <w:r w:rsidRPr="00AD7F58">
        <w:t xml:space="preserve">] </w:t>
      </w:r>
      <w:proofErr w:type="gramStart"/>
      <w:r>
        <w:t xml:space="preserve">   </w:t>
      </w:r>
      <w:r w:rsidRPr="00AD7F58">
        <w:t>“</w:t>
      </w:r>
      <w:proofErr w:type="gramEnd"/>
      <w:r w:rsidRPr="00AD7F58">
        <w:t>Investor Relations: Cintas,” Default, https://www.cintas.com/investors/ (accessed May 6, 2025).</w:t>
      </w:r>
      <w:r>
        <w:br/>
      </w:r>
    </w:p>
    <w:p w14:paraId="405E1C81" w14:textId="46810A94" w:rsidR="00AD7F58" w:rsidRPr="00AD7F58" w:rsidRDefault="00AD7F58" w:rsidP="00AD7F58">
      <w:r>
        <w:t xml:space="preserve">   </w:t>
      </w:r>
      <w:r w:rsidRPr="00AD7F58">
        <w:t>[</w:t>
      </w:r>
      <w:r>
        <w:t>3</w:t>
      </w:r>
      <w:r w:rsidRPr="00AD7F58">
        <w:t xml:space="preserve">] </w:t>
      </w:r>
      <w:proofErr w:type="gramStart"/>
      <w:r>
        <w:t xml:space="preserve">   </w:t>
      </w:r>
      <w:r w:rsidRPr="00AD7F58">
        <w:t>“</w:t>
      </w:r>
      <w:proofErr w:type="gramEnd"/>
      <w:r w:rsidRPr="00AD7F58">
        <w:t>EDGAR Cintas Annual Financial Reports,” EDGAR, https://www.sec.gov/edgar/browse/?CIK=723254 (accessed May 6, 2025).</w:t>
      </w:r>
    </w:p>
    <w:p w14:paraId="3DC05521" w14:textId="77777777" w:rsidR="00AD7F58" w:rsidRDefault="00AD7F58" w:rsidP="00AD7F58"/>
    <w:p w14:paraId="68475505" w14:textId="0AB3255F" w:rsidR="005D299D" w:rsidRPr="005D299D" w:rsidRDefault="005D299D" w:rsidP="005D299D">
      <w:r>
        <w:t xml:space="preserve">   </w:t>
      </w:r>
      <w:r w:rsidRPr="005D299D">
        <w:t>[</w:t>
      </w:r>
      <w:r>
        <w:t>4</w:t>
      </w:r>
      <w:r w:rsidRPr="005D299D">
        <w:t xml:space="preserve">] </w:t>
      </w:r>
      <w:r>
        <w:t xml:space="preserve">   </w:t>
      </w:r>
      <w:r w:rsidRPr="005D299D">
        <w:t xml:space="preserve">A. Stahl, “Top 5 Cintas Competitors and Alternatives for 2024,” P3 Cost Analysts, https://www.costanalysts.com/cintas-competitors/ (accessed May 6, 2025). </w:t>
      </w:r>
    </w:p>
    <w:p w14:paraId="4AE1485A" w14:textId="77777777" w:rsidR="005D299D" w:rsidRPr="00AD7F58" w:rsidRDefault="005D299D" w:rsidP="00AD7F58"/>
    <w:sectPr w:rsidR="005D299D" w:rsidRPr="00AD7F5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0AF2" w14:textId="77777777" w:rsidR="00316BCF" w:rsidRDefault="00316BCF" w:rsidP="00AE1725">
      <w:pPr>
        <w:spacing w:after="0" w:line="240" w:lineRule="auto"/>
      </w:pPr>
      <w:r>
        <w:separator/>
      </w:r>
    </w:p>
  </w:endnote>
  <w:endnote w:type="continuationSeparator" w:id="0">
    <w:p w14:paraId="437CD102" w14:textId="77777777" w:rsidR="00316BCF" w:rsidRDefault="00316BCF" w:rsidP="00AE1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000271"/>
      <w:docPartObj>
        <w:docPartGallery w:val="Page Numbers (Bottom of Page)"/>
        <w:docPartUnique/>
      </w:docPartObj>
    </w:sdtPr>
    <w:sdtEndPr>
      <w:rPr>
        <w:noProof/>
      </w:rPr>
    </w:sdtEndPr>
    <w:sdtContent>
      <w:p w14:paraId="0FCB693D" w14:textId="77777777" w:rsidR="00AE1725" w:rsidRDefault="00AE1725">
        <w:pPr>
          <w:pStyle w:val="Footer"/>
        </w:pPr>
        <w:r>
          <w:fldChar w:fldCharType="begin"/>
        </w:r>
        <w:r>
          <w:instrText xml:space="preserve"> PAGE   \* MERGEFORMAT </w:instrText>
        </w:r>
        <w:r>
          <w:fldChar w:fldCharType="separate"/>
        </w:r>
        <w:r>
          <w:rPr>
            <w:noProof/>
          </w:rPr>
          <w:t>2</w:t>
        </w:r>
        <w:r>
          <w:rPr>
            <w:noProof/>
          </w:rPr>
          <w:fldChar w:fldCharType="end"/>
        </w:r>
      </w:p>
    </w:sdtContent>
  </w:sdt>
  <w:p w14:paraId="27507362" w14:textId="77777777" w:rsidR="00AE1725" w:rsidRDefault="00AE1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743E" w14:textId="77777777" w:rsidR="00316BCF" w:rsidRDefault="00316BCF" w:rsidP="00AE1725">
      <w:pPr>
        <w:spacing w:after="0" w:line="240" w:lineRule="auto"/>
      </w:pPr>
      <w:r>
        <w:separator/>
      </w:r>
    </w:p>
  </w:footnote>
  <w:footnote w:type="continuationSeparator" w:id="0">
    <w:p w14:paraId="5CA83F71" w14:textId="77777777" w:rsidR="00316BCF" w:rsidRDefault="00316BCF" w:rsidP="00AE1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32F9"/>
    <w:multiLevelType w:val="multilevel"/>
    <w:tmpl w:val="902A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9728D"/>
    <w:multiLevelType w:val="multilevel"/>
    <w:tmpl w:val="C0B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41EE3"/>
    <w:multiLevelType w:val="hybridMultilevel"/>
    <w:tmpl w:val="D908A20E"/>
    <w:lvl w:ilvl="0" w:tplc="BE9A8B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211B7"/>
    <w:multiLevelType w:val="multilevel"/>
    <w:tmpl w:val="487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86ADB"/>
    <w:multiLevelType w:val="multilevel"/>
    <w:tmpl w:val="487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0475C"/>
    <w:multiLevelType w:val="hybridMultilevel"/>
    <w:tmpl w:val="314A6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DF03576"/>
    <w:multiLevelType w:val="hybridMultilevel"/>
    <w:tmpl w:val="2340A7D4"/>
    <w:lvl w:ilvl="0" w:tplc="D4DC8D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880811"/>
    <w:multiLevelType w:val="multilevel"/>
    <w:tmpl w:val="35B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58751">
    <w:abstractNumId w:val="2"/>
  </w:num>
  <w:num w:numId="2" w16cid:durableId="1582636856">
    <w:abstractNumId w:val="5"/>
  </w:num>
  <w:num w:numId="3" w16cid:durableId="297490067">
    <w:abstractNumId w:val="4"/>
  </w:num>
  <w:num w:numId="4" w16cid:durableId="1738477158">
    <w:abstractNumId w:val="1"/>
  </w:num>
  <w:num w:numId="5" w16cid:durableId="887450955">
    <w:abstractNumId w:val="7"/>
  </w:num>
  <w:num w:numId="6" w16cid:durableId="974867605">
    <w:abstractNumId w:val="0"/>
  </w:num>
  <w:num w:numId="7" w16cid:durableId="1443644102">
    <w:abstractNumId w:val="6"/>
  </w:num>
  <w:num w:numId="8" w16cid:durableId="2099400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0F"/>
    <w:rsid w:val="00074BFA"/>
    <w:rsid w:val="000B620F"/>
    <w:rsid w:val="000C4027"/>
    <w:rsid w:val="000E3F08"/>
    <w:rsid w:val="00133023"/>
    <w:rsid w:val="001C4189"/>
    <w:rsid w:val="00316BCF"/>
    <w:rsid w:val="00371043"/>
    <w:rsid w:val="003D3978"/>
    <w:rsid w:val="0049301D"/>
    <w:rsid w:val="005462B4"/>
    <w:rsid w:val="005B4EEA"/>
    <w:rsid w:val="005C1453"/>
    <w:rsid w:val="005D299D"/>
    <w:rsid w:val="00610543"/>
    <w:rsid w:val="006C1009"/>
    <w:rsid w:val="00843FB7"/>
    <w:rsid w:val="008E0254"/>
    <w:rsid w:val="00926A49"/>
    <w:rsid w:val="00941A04"/>
    <w:rsid w:val="00970416"/>
    <w:rsid w:val="00A2662B"/>
    <w:rsid w:val="00AD7F58"/>
    <w:rsid w:val="00AE1725"/>
    <w:rsid w:val="00B14AF6"/>
    <w:rsid w:val="00B73121"/>
    <w:rsid w:val="00B8765A"/>
    <w:rsid w:val="00C11FCB"/>
    <w:rsid w:val="00C46D44"/>
    <w:rsid w:val="00CB138E"/>
    <w:rsid w:val="00D7337F"/>
    <w:rsid w:val="00E04614"/>
    <w:rsid w:val="00E260D0"/>
    <w:rsid w:val="00F274AC"/>
    <w:rsid w:val="00F30C03"/>
    <w:rsid w:val="00F53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1010E"/>
  <w15:chartTrackingRefBased/>
  <w15:docId w15:val="{CFBDEBD5-77A0-4EED-8E4E-DA78459B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20F"/>
    <w:rPr>
      <w:rFonts w:eastAsiaTheme="majorEastAsia" w:cstheme="majorBidi"/>
      <w:color w:val="272727" w:themeColor="text1" w:themeTint="D8"/>
    </w:rPr>
  </w:style>
  <w:style w:type="paragraph" w:styleId="Title">
    <w:name w:val="Title"/>
    <w:basedOn w:val="Normal"/>
    <w:next w:val="Normal"/>
    <w:link w:val="TitleChar"/>
    <w:uiPriority w:val="10"/>
    <w:qFormat/>
    <w:rsid w:val="000B6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20F"/>
    <w:pPr>
      <w:spacing w:before="160"/>
      <w:jc w:val="center"/>
    </w:pPr>
    <w:rPr>
      <w:i/>
      <w:iCs/>
      <w:color w:val="404040" w:themeColor="text1" w:themeTint="BF"/>
    </w:rPr>
  </w:style>
  <w:style w:type="character" w:customStyle="1" w:styleId="QuoteChar">
    <w:name w:val="Quote Char"/>
    <w:basedOn w:val="DefaultParagraphFont"/>
    <w:link w:val="Quote"/>
    <w:uiPriority w:val="29"/>
    <w:rsid w:val="000B620F"/>
    <w:rPr>
      <w:i/>
      <w:iCs/>
      <w:color w:val="404040" w:themeColor="text1" w:themeTint="BF"/>
    </w:rPr>
  </w:style>
  <w:style w:type="paragraph" w:styleId="ListParagraph">
    <w:name w:val="List Paragraph"/>
    <w:basedOn w:val="Normal"/>
    <w:uiPriority w:val="34"/>
    <w:qFormat/>
    <w:rsid w:val="000B620F"/>
    <w:pPr>
      <w:ind w:left="720"/>
      <w:contextualSpacing/>
    </w:pPr>
  </w:style>
  <w:style w:type="character" w:styleId="IntenseEmphasis">
    <w:name w:val="Intense Emphasis"/>
    <w:basedOn w:val="DefaultParagraphFont"/>
    <w:uiPriority w:val="21"/>
    <w:qFormat/>
    <w:rsid w:val="000B620F"/>
    <w:rPr>
      <w:i/>
      <w:iCs/>
      <w:color w:val="0F4761" w:themeColor="accent1" w:themeShade="BF"/>
    </w:rPr>
  </w:style>
  <w:style w:type="paragraph" w:styleId="IntenseQuote">
    <w:name w:val="Intense Quote"/>
    <w:basedOn w:val="Normal"/>
    <w:next w:val="Normal"/>
    <w:link w:val="IntenseQuoteChar"/>
    <w:uiPriority w:val="30"/>
    <w:qFormat/>
    <w:rsid w:val="000B6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20F"/>
    <w:rPr>
      <w:i/>
      <w:iCs/>
      <w:color w:val="0F4761" w:themeColor="accent1" w:themeShade="BF"/>
    </w:rPr>
  </w:style>
  <w:style w:type="character" w:styleId="IntenseReference">
    <w:name w:val="Intense Reference"/>
    <w:basedOn w:val="DefaultParagraphFont"/>
    <w:uiPriority w:val="32"/>
    <w:qFormat/>
    <w:rsid w:val="000B620F"/>
    <w:rPr>
      <w:b/>
      <w:bCs/>
      <w:smallCaps/>
      <w:color w:val="0F4761" w:themeColor="accent1" w:themeShade="BF"/>
      <w:spacing w:val="5"/>
    </w:rPr>
  </w:style>
  <w:style w:type="paragraph" w:styleId="Header">
    <w:name w:val="header"/>
    <w:basedOn w:val="Normal"/>
    <w:link w:val="HeaderChar"/>
    <w:uiPriority w:val="99"/>
    <w:unhideWhenUsed/>
    <w:rsid w:val="00AE1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725"/>
  </w:style>
  <w:style w:type="paragraph" w:styleId="Footer">
    <w:name w:val="footer"/>
    <w:basedOn w:val="Normal"/>
    <w:link w:val="FooterChar"/>
    <w:uiPriority w:val="99"/>
    <w:unhideWhenUsed/>
    <w:rsid w:val="00AE1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725"/>
  </w:style>
  <w:style w:type="table" w:styleId="TableGrid">
    <w:name w:val="Table Grid"/>
    <w:basedOn w:val="TableNormal"/>
    <w:uiPriority w:val="39"/>
    <w:rsid w:val="001C4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14AF6"/>
    <w:pPr>
      <w:spacing w:after="200" w:line="240" w:lineRule="auto"/>
    </w:pPr>
    <w:rPr>
      <w:i/>
      <w:iCs/>
      <w:color w:val="0E2841" w:themeColor="text2"/>
      <w:sz w:val="18"/>
      <w:szCs w:val="18"/>
    </w:rPr>
  </w:style>
  <w:style w:type="character" w:styleId="Hyperlink">
    <w:name w:val="Hyperlink"/>
    <w:basedOn w:val="DefaultParagraphFont"/>
    <w:uiPriority w:val="99"/>
    <w:unhideWhenUsed/>
    <w:rsid w:val="00074BFA"/>
    <w:rPr>
      <w:color w:val="467886" w:themeColor="hyperlink"/>
      <w:u w:val="single"/>
    </w:rPr>
  </w:style>
  <w:style w:type="character" w:styleId="UnresolvedMention">
    <w:name w:val="Unresolved Mention"/>
    <w:basedOn w:val="DefaultParagraphFont"/>
    <w:uiPriority w:val="99"/>
    <w:semiHidden/>
    <w:unhideWhenUsed/>
    <w:rsid w:val="00074BFA"/>
    <w:rPr>
      <w:color w:val="605E5C"/>
      <w:shd w:val="clear" w:color="auto" w:fill="E1DFDD"/>
    </w:rPr>
  </w:style>
  <w:style w:type="paragraph" w:styleId="TOCHeading">
    <w:name w:val="TOC Heading"/>
    <w:basedOn w:val="Heading1"/>
    <w:next w:val="Normal"/>
    <w:uiPriority w:val="39"/>
    <w:unhideWhenUsed/>
    <w:qFormat/>
    <w:rsid w:val="00AD7F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D7F58"/>
    <w:pPr>
      <w:spacing w:after="100"/>
    </w:pPr>
  </w:style>
  <w:style w:type="paragraph" w:styleId="TOC2">
    <w:name w:val="toc 2"/>
    <w:basedOn w:val="Normal"/>
    <w:next w:val="Normal"/>
    <w:autoRedefine/>
    <w:uiPriority w:val="39"/>
    <w:unhideWhenUsed/>
    <w:rsid w:val="00AD7F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1595">
      <w:bodyDiv w:val="1"/>
      <w:marLeft w:val="0"/>
      <w:marRight w:val="0"/>
      <w:marTop w:val="0"/>
      <w:marBottom w:val="0"/>
      <w:divBdr>
        <w:top w:val="none" w:sz="0" w:space="0" w:color="auto"/>
        <w:left w:val="none" w:sz="0" w:space="0" w:color="auto"/>
        <w:bottom w:val="none" w:sz="0" w:space="0" w:color="auto"/>
        <w:right w:val="none" w:sz="0" w:space="0" w:color="auto"/>
      </w:divBdr>
    </w:div>
    <w:div w:id="73626930">
      <w:bodyDiv w:val="1"/>
      <w:marLeft w:val="0"/>
      <w:marRight w:val="0"/>
      <w:marTop w:val="0"/>
      <w:marBottom w:val="0"/>
      <w:divBdr>
        <w:top w:val="none" w:sz="0" w:space="0" w:color="auto"/>
        <w:left w:val="none" w:sz="0" w:space="0" w:color="auto"/>
        <w:bottom w:val="none" w:sz="0" w:space="0" w:color="auto"/>
        <w:right w:val="none" w:sz="0" w:space="0" w:color="auto"/>
      </w:divBdr>
    </w:div>
    <w:div w:id="82530500">
      <w:bodyDiv w:val="1"/>
      <w:marLeft w:val="0"/>
      <w:marRight w:val="0"/>
      <w:marTop w:val="0"/>
      <w:marBottom w:val="0"/>
      <w:divBdr>
        <w:top w:val="none" w:sz="0" w:space="0" w:color="auto"/>
        <w:left w:val="none" w:sz="0" w:space="0" w:color="auto"/>
        <w:bottom w:val="none" w:sz="0" w:space="0" w:color="auto"/>
        <w:right w:val="none" w:sz="0" w:space="0" w:color="auto"/>
      </w:divBdr>
    </w:div>
    <w:div w:id="108472251">
      <w:bodyDiv w:val="1"/>
      <w:marLeft w:val="0"/>
      <w:marRight w:val="0"/>
      <w:marTop w:val="0"/>
      <w:marBottom w:val="0"/>
      <w:divBdr>
        <w:top w:val="none" w:sz="0" w:space="0" w:color="auto"/>
        <w:left w:val="none" w:sz="0" w:space="0" w:color="auto"/>
        <w:bottom w:val="none" w:sz="0" w:space="0" w:color="auto"/>
        <w:right w:val="none" w:sz="0" w:space="0" w:color="auto"/>
      </w:divBdr>
    </w:div>
    <w:div w:id="154223368">
      <w:bodyDiv w:val="1"/>
      <w:marLeft w:val="0"/>
      <w:marRight w:val="0"/>
      <w:marTop w:val="0"/>
      <w:marBottom w:val="0"/>
      <w:divBdr>
        <w:top w:val="none" w:sz="0" w:space="0" w:color="auto"/>
        <w:left w:val="none" w:sz="0" w:space="0" w:color="auto"/>
        <w:bottom w:val="none" w:sz="0" w:space="0" w:color="auto"/>
        <w:right w:val="none" w:sz="0" w:space="0" w:color="auto"/>
      </w:divBdr>
    </w:div>
    <w:div w:id="156579557">
      <w:bodyDiv w:val="1"/>
      <w:marLeft w:val="0"/>
      <w:marRight w:val="0"/>
      <w:marTop w:val="0"/>
      <w:marBottom w:val="0"/>
      <w:divBdr>
        <w:top w:val="none" w:sz="0" w:space="0" w:color="auto"/>
        <w:left w:val="none" w:sz="0" w:space="0" w:color="auto"/>
        <w:bottom w:val="none" w:sz="0" w:space="0" w:color="auto"/>
        <w:right w:val="none" w:sz="0" w:space="0" w:color="auto"/>
      </w:divBdr>
    </w:div>
    <w:div w:id="202065400">
      <w:bodyDiv w:val="1"/>
      <w:marLeft w:val="0"/>
      <w:marRight w:val="0"/>
      <w:marTop w:val="0"/>
      <w:marBottom w:val="0"/>
      <w:divBdr>
        <w:top w:val="none" w:sz="0" w:space="0" w:color="auto"/>
        <w:left w:val="none" w:sz="0" w:space="0" w:color="auto"/>
        <w:bottom w:val="none" w:sz="0" w:space="0" w:color="auto"/>
        <w:right w:val="none" w:sz="0" w:space="0" w:color="auto"/>
      </w:divBdr>
    </w:div>
    <w:div w:id="203760886">
      <w:bodyDiv w:val="1"/>
      <w:marLeft w:val="0"/>
      <w:marRight w:val="0"/>
      <w:marTop w:val="0"/>
      <w:marBottom w:val="0"/>
      <w:divBdr>
        <w:top w:val="none" w:sz="0" w:space="0" w:color="auto"/>
        <w:left w:val="none" w:sz="0" w:space="0" w:color="auto"/>
        <w:bottom w:val="none" w:sz="0" w:space="0" w:color="auto"/>
        <w:right w:val="none" w:sz="0" w:space="0" w:color="auto"/>
      </w:divBdr>
    </w:div>
    <w:div w:id="249775167">
      <w:bodyDiv w:val="1"/>
      <w:marLeft w:val="0"/>
      <w:marRight w:val="0"/>
      <w:marTop w:val="0"/>
      <w:marBottom w:val="0"/>
      <w:divBdr>
        <w:top w:val="none" w:sz="0" w:space="0" w:color="auto"/>
        <w:left w:val="none" w:sz="0" w:space="0" w:color="auto"/>
        <w:bottom w:val="none" w:sz="0" w:space="0" w:color="auto"/>
        <w:right w:val="none" w:sz="0" w:space="0" w:color="auto"/>
      </w:divBdr>
    </w:div>
    <w:div w:id="291596552">
      <w:bodyDiv w:val="1"/>
      <w:marLeft w:val="0"/>
      <w:marRight w:val="0"/>
      <w:marTop w:val="0"/>
      <w:marBottom w:val="0"/>
      <w:divBdr>
        <w:top w:val="none" w:sz="0" w:space="0" w:color="auto"/>
        <w:left w:val="none" w:sz="0" w:space="0" w:color="auto"/>
        <w:bottom w:val="none" w:sz="0" w:space="0" w:color="auto"/>
        <w:right w:val="none" w:sz="0" w:space="0" w:color="auto"/>
      </w:divBdr>
    </w:div>
    <w:div w:id="342785802">
      <w:bodyDiv w:val="1"/>
      <w:marLeft w:val="0"/>
      <w:marRight w:val="0"/>
      <w:marTop w:val="0"/>
      <w:marBottom w:val="0"/>
      <w:divBdr>
        <w:top w:val="none" w:sz="0" w:space="0" w:color="auto"/>
        <w:left w:val="none" w:sz="0" w:space="0" w:color="auto"/>
        <w:bottom w:val="none" w:sz="0" w:space="0" w:color="auto"/>
        <w:right w:val="none" w:sz="0" w:space="0" w:color="auto"/>
      </w:divBdr>
    </w:div>
    <w:div w:id="353728742">
      <w:bodyDiv w:val="1"/>
      <w:marLeft w:val="0"/>
      <w:marRight w:val="0"/>
      <w:marTop w:val="0"/>
      <w:marBottom w:val="0"/>
      <w:divBdr>
        <w:top w:val="none" w:sz="0" w:space="0" w:color="auto"/>
        <w:left w:val="none" w:sz="0" w:space="0" w:color="auto"/>
        <w:bottom w:val="none" w:sz="0" w:space="0" w:color="auto"/>
        <w:right w:val="none" w:sz="0" w:space="0" w:color="auto"/>
      </w:divBdr>
    </w:div>
    <w:div w:id="386488873">
      <w:bodyDiv w:val="1"/>
      <w:marLeft w:val="0"/>
      <w:marRight w:val="0"/>
      <w:marTop w:val="0"/>
      <w:marBottom w:val="0"/>
      <w:divBdr>
        <w:top w:val="none" w:sz="0" w:space="0" w:color="auto"/>
        <w:left w:val="none" w:sz="0" w:space="0" w:color="auto"/>
        <w:bottom w:val="none" w:sz="0" w:space="0" w:color="auto"/>
        <w:right w:val="none" w:sz="0" w:space="0" w:color="auto"/>
      </w:divBdr>
    </w:div>
    <w:div w:id="408700407">
      <w:bodyDiv w:val="1"/>
      <w:marLeft w:val="0"/>
      <w:marRight w:val="0"/>
      <w:marTop w:val="0"/>
      <w:marBottom w:val="0"/>
      <w:divBdr>
        <w:top w:val="none" w:sz="0" w:space="0" w:color="auto"/>
        <w:left w:val="none" w:sz="0" w:space="0" w:color="auto"/>
        <w:bottom w:val="none" w:sz="0" w:space="0" w:color="auto"/>
        <w:right w:val="none" w:sz="0" w:space="0" w:color="auto"/>
      </w:divBdr>
    </w:div>
    <w:div w:id="500043310">
      <w:bodyDiv w:val="1"/>
      <w:marLeft w:val="0"/>
      <w:marRight w:val="0"/>
      <w:marTop w:val="0"/>
      <w:marBottom w:val="0"/>
      <w:divBdr>
        <w:top w:val="none" w:sz="0" w:space="0" w:color="auto"/>
        <w:left w:val="none" w:sz="0" w:space="0" w:color="auto"/>
        <w:bottom w:val="none" w:sz="0" w:space="0" w:color="auto"/>
        <w:right w:val="none" w:sz="0" w:space="0" w:color="auto"/>
      </w:divBdr>
    </w:div>
    <w:div w:id="525287286">
      <w:bodyDiv w:val="1"/>
      <w:marLeft w:val="0"/>
      <w:marRight w:val="0"/>
      <w:marTop w:val="0"/>
      <w:marBottom w:val="0"/>
      <w:divBdr>
        <w:top w:val="none" w:sz="0" w:space="0" w:color="auto"/>
        <w:left w:val="none" w:sz="0" w:space="0" w:color="auto"/>
        <w:bottom w:val="none" w:sz="0" w:space="0" w:color="auto"/>
        <w:right w:val="none" w:sz="0" w:space="0" w:color="auto"/>
      </w:divBdr>
    </w:div>
    <w:div w:id="562133007">
      <w:bodyDiv w:val="1"/>
      <w:marLeft w:val="0"/>
      <w:marRight w:val="0"/>
      <w:marTop w:val="0"/>
      <w:marBottom w:val="0"/>
      <w:divBdr>
        <w:top w:val="none" w:sz="0" w:space="0" w:color="auto"/>
        <w:left w:val="none" w:sz="0" w:space="0" w:color="auto"/>
        <w:bottom w:val="none" w:sz="0" w:space="0" w:color="auto"/>
        <w:right w:val="none" w:sz="0" w:space="0" w:color="auto"/>
      </w:divBdr>
    </w:div>
    <w:div w:id="608005048">
      <w:bodyDiv w:val="1"/>
      <w:marLeft w:val="0"/>
      <w:marRight w:val="0"/>
      <w:marTop w:val="0"/>
      <w:marBottom w:val="0"/>
      <w:divBdr>
        <w:top w:val="none" w:sz="0" w:space="0" w:color="auto"/>
        <w:left w:val="none" w:sz="0" w:space="0" w:color="auto"/>
        <w:bottom w:val="none" w:sz="0" w:space="0" w:color="auto"/>
        <w:right w:val="none" w:sz="0" w:space="0" w:color="auto"/>
      </w:divBdr>
    </w:div>
    <w:div w:id="608782141">
      <w:bodyDiv w:val="1"/>
      <w:marLeft w:val="0"/>
      <w:marRight w:val="0"/>
      <w:marTop w:val="0"/>
      <w:marBottom w:val="0"/>
      <w:divBdr>
        <w:top w:val="none" w:sz="0" w:space="0" w:color="auto"/>
        <w:left w:val="none" w:sz="0" w:space="0" w:color="auto"/>
        <w:bottom w:val="none" w:sz="0" w:space="0" w:color="auto"/>
        <w:right w:val="none" w:sz="0" w:space="0" w:color="auto"/>
      </w:divBdr>
    </w:div>
    <w:div w:id="616255895">
      <w:bodyDiv w:val="1"/>
      <w:marLeft w:val="0"/>
      <w:marRight w:val="0"/>
      <w:marTop w:val="0"/>
      <w:marBottom w:val="0"/>
      <w:divBdr>
        <w:top w:val="none" w:sz="0" w:space="0" w:color="auto"/>
        <w:left w:val="none" w:sz="0" w:space="0" w:color="auto"/>
        <w:bottom w:val="none" w:sz="0" w:space="0" w:color="auto"/>
        <w:right w:val="none" w:sz="0" w:space="0" w:color="auto"/>
      </w:divBdr>
    </w:div>
    <w:div w:id="657535354">
      <w:bodyDiv w:val="1"/>
      <w:marLeft w:val="0"/>
      <w:marRight w:val="0"/>
      <w:marTop w:val="0"/>
      <w:marBottom w:val="0"/>
      <w:divBdr>
        <w:top w:val="none" w:sz="0" w:space="0" w:color="auto"/>
        <w:left w:val="none" w:sz="0" w:space="0" w:color="auto"/>
        <w:bottom w:val="none" w:sz="0" w:space="0" w:color="auto"/>
        <w:right w:val="none" w:sz="0" w:space="0" w:color="auto"/>
      </w:divBdr>
    </w:div>
    <w:div w:id="677001259">
      <w:bodyDiv w:val="1"/>
      <w:marLeft w:val="0"/>
      <w:marRight w:val="0"/>
      <w:marTop w:val="0"/>
      <w:marBottom w:val="0"/>
      <w:divBdr>
        <w:top w:val="none" w:sz="0" w:space="0" w:color="auto"/>
        <w:left w:val="none" w:sz="0" w:space="0" w:color="auto"/>
        <w:bottom w:val="none" w:sz="0" w:space="0" w:color="auto"/>
        <w:right w:val="none" w:sz="0" w:space="0" w:color="auto"/>
      </w:divBdr>
    </w:div>
    <w:div w:id="695733921">
      <w:bodyDiv w:val="1"/>
      <w:marLeft w:val="0"/>
      <w:marRight w:val="0"/>
      <w:marTop w:val="0"/>
      <w:marBottom w:val="0"/>
      <w:divBdr>
        <w:top w:val="none" w:sz="0" w:space="0" w:color="auto"/>
        <w:left w:val="none" w:sz="0" w:space="0" w:color="auto"/>
        <w:bottom w:val="none" w:sz="0" w:space="0" w:color="auto"/>
        <w:right w:val="none" w:sz="0" w:space="0" w:color="auto"/>
      </w:divBdr>
    </w:div>
    <w:div w:id="717389615">
      <w:bodyDiv w:val="1"/>
      <w:marLeft w:val="0"/>
      <w:marRight w:val="0"/>
      <w:marTop w:val="0"/>
      <w:marBottom w:val="0"/>
      <w:divBdr>
        <w:top w:val="none" w:sz="0" w:space="0" w:color="auto"/>
        <w:left w:val="none" w:sz="0" w:space="0" w:color="auto"/>
        <w:bottom w:val="none" w:sz="0" w:space="0" w:color="auto"/>
        <w:right w:val="none" w:sz="0" w:space="0" w:color="auto"/>
      </w:divBdr>
    </w:div>
    <w:div w:id="749232588">
      <w:bodyDiv w:val="1"/>
      <w:marLeft w:val="0"/>
      <w:marRight w:val="0"/>
      <w:marTop w:val="0"/>
      <w:marBottom w:val="0"/>
      <w:divBdr>
        <w:top w:val="none" w:sz="0" w:space="0" w:color="auto"/>
        <w:left w:val="none" w:sz="0" w:space="0" w:color="auto"/>
        <w:bottom w:val="none" w:sz="0" w:space="0" w:color="auto"/>
        <w:right w:val="none" w:sz="0" w:space="0" w:color="auto"/>
      </w:divBdr>
    </w:div>
    <w:div w:id="779371343">
      <w:bodyDiv w:val="1"/>
      <w:marLeft w:val="0"/>
      <w:marRight w:val="0"/>
      <w:marTop w:val="0"/>
      <w:marBottom w:val="0"/>
      <w:divBdr>
        <w:top w:val="none" w:sz="0" w:space="0" w:color="auto"/>
        <w:left w:val="none" w:sz="0" w:space="0" w:color="auto"/>
        <w:bottom w:val="none" w:sz="0" w:space="0" w:color="auto"/>
        <w:right w:val="none" w:sz="0" w:space="0" w:color="auto"/>
      </w:divBdr>
    </w:div>
    <w:div w:id="779910040">
      <w:bodyDiv w:val="1"/>
      <w:marLeft w:val="0"/>
      <w:marRight w:val="0"/>
      <w:marTop w:val="0"/>
      <w:marBottom w:val="0"/>
      <w:divBdr>
        <w:top w:val="none" w:sz="0" w:space="0" w:color="auto"/>
        <w:left w:val="none" w:sz="0" w:space="0" w:color="auto"/>
        <w:bottom w:val="none" w:sz="0" w:space="0" w:color="auto"/>
        <w:right w:val="none" w:sz="0" w:space="0" w:color="auto"/>
      </w:divBdr>
    </w:div>
    <w:div w:id="803734729">
      <w:bodyDiv w:val="1"/>
      <w:marLeft w:val="0"/>
      <w:marRight w:val="0"/>
      <w:marTop w:val="0"/>
      <w:marBottom w:val="0"/>
      <w:divBdr>
        <w:top w:val="none" w:sz="0" w:space="0" w:color="auto"/>
        <w:left w:val="none" w:sz="0" w:space="0" w:color="auto"/>
        <w:bottom w:val="none" w:sz="0" w:space="0" w:color="auto"/>
        <w:right w:val="none" w:sz="0" w:space="0" w:color="auto"/>
      </w:divBdr>
    </w:div>
    <w:div w:id="804737292">
      <w:bodyDiv w:val="1"/>
      <w:marLeft w:val="0"/>
      <w:marRight w:val="0"/>
      <w:marTop w:val="0"/>
      <w:marBottom w:val="0"/>
      <w:divBdr>
        <w:top w:val="none" w:sz="0" w:space="0" w:color="auto"/>
        <w:left w:val="none" w:sz="0" w:space="0" w:color="auto"/>
        <w:bottom w:val="none" w:sz="0" w:space="0" w:color="auto"/>
        <w:right w:val="none" w:sz="0" w:space="0" w:color="auto"/>
      </w:divBdr>
    </w:div>
    <w:div w:id="815144518">
      <w:bodyDiv w:val="1"/>
      <w:marLeft w:val="0"/>
      <w:marRight w:val="0"/>
      <w:marTop w:val="0"/>
      <w:marBottom w:val="0"/>
      <w:divBdr>
        <w:top w:val="none" w:sz="0" w:space="0" w:color="auto"/>
        <w:left w:val="none" w:sz="0" w:space="0" w:color="auto"/>
        <w:bottom w:val="none" w:sz="0" w:space="0" w:color="auto"/>
        <w:right w:val="none" w:sz="0" w:space="0" w:color="auto"/>
      </w:divBdr>
    </w:div>
    <w:div w:id="816334723">
      <w:bodyDiv w:val="1"/>
      <w:marLeft w:val="0"/>
      <w:marRight w:val="0"/>
      <w:marTop w:val="0"/>
      <w:marBottom w:val="0"/>
      <w:divBdr>
        <w:top w:val="none" w:sz="0" w:space="0" w:color="auto"/>
        <w:left w:val="none" w:sz="0" w:space="0" w:color="auto"/>
        <w:bottom w:val="none" w:sz="0" w:space="0" w:color="auto"/>
        <w:right w:val="none" w:sz="0" w:space="0" w:color="auto"/>
      </w:divBdr>
    </w:div>
    <w:div w:id="828329977">
      <w:bodyDiv w:val="1"/>
      <w:marLeft w:val="0"/>
      <w:marRight w:val="0"/>
      <w:marTop w:val="0"/>
      <w:marBottom w:val="0"/>
      <w:divBdr>
        <w:top w:val="none" w:sz="0" w:space="0" w:color="auto"/>
        <w:left w:val="none" w:sz="0" w:space="0" w:color="auto"/>
        <w:bottom w:val="none" w:sz="0" w:space="0" w:color="auto"/>
        <w:right w:val="none" w:sz="0" w:space="0" w:color="auto"/>
      </w:divBdr>
    </w:div>
    <w:div w:id="865602511">
      <w:bodyDiv w:val="1"/>
      <w:marLeft w:val="0"/>
      <w:marRight w:val="0"/>
      <w:marTop w:val="0"/>
      <w:marBottom w:val="0"/>
      <w:divBdr>
        <w:top w:val="none" w:sz="0" w:space="0" w:color="auto"/>
        <w:left w:val="none" w:sz="0" w:space="0" w:color="auto"/>
        <w:bottom w:val="none" w:sz="0" w:space="0" w:color="auto"/>
        <w:right w:val="none" w:sz="0" w:space="0" w:color="auto"/>
      </w:divBdr>
    </w:div>
    <w:div w:id="874461560">
      <w:bodyDiv w:val="1"/>
      <w:marLeft w:val="0"/>
      <w:marRight w:val="0"/>
      <w:marTop w:val="0"/>
      <w:marBottom w:val="0"/>
      <w:divBdr>
        <w:top w:val="none" w:sz="0" w:space="0" w:color="auto"/>
        <w:left w:val="none" w:sz="0" w:space="0" w:color="auto"/>
        <w:bottom w:val="none" w:sz="0" w:space="0" w:color="auto"/>
        <w:right w:val="none" w:sz="0" w:space="0" w:color="auto"/>
      </w:divBdr>
    </w:div>
    <w:div w:id="933779991">
      <w:bodyDiv w:val="1"/>
      <w:marLeft w:val="0"/>
      <w:marRight w:val="0"/>
      <w:marTop w:val="0"/>
      <w:marBottom w:val="0"/>
      <w:divBdr>
        <w:top w:val="none" w:sz="0" w:space="0" w:color="auto"/>
        <w:left w:val="none" w:sz="0" w:space="0" w:color="auto"/>
        <w:bottom w:val="none" w:sz="0" w:space="0" w:color="auto"/>
        <w:right w:val="none" w:sz="0" w:space="0" w:color="auto"/>
      </w:divBdr>
    </w:div>
    <w:div w:id="941062954">
      <w:bodyDiv w:val="1"/>
      <w:marLeft w:val="0"/>
      <w:marRight w:val="0"/>
      <w:marTop w:val="0"/>
      <w:marBottom w:val="0"/>
      <w:divBdr>
        <w:top w:val="none" w:sz="0" w:space="0" w:color="auto"/>
        <w:left w:val="none" w:sz="0" w:space="0" w:color="auto"/>
        <w:bottom w:val="none" w:sz="0" w:space="0" w:color="auto"/>
        <w:right w:val="none" w:sz="0" w:space="0" w:color="auto"/>
      </w:divBdr>
    </w:div>
    <w:div w:id="947001992">
      <w:bodyDiv w:val="1"/>
      <w:marLeft w:val="0"/>
      <w:marRight w:val="0"/>
      <w:marTop w:val="0"/>
      <w:marBottom w:val="0"/>
      <w:divBdr>
        <w:top w:val="none" w:sz="0" w:space="0" w:color="auto"/>
        <w:left w:val="none" w:sz="0" w:space="0" w:color="auto"/>
        <w:bottom w:val="none" w:sz="0" w:space="0" w:color="auto"/>
        <w:right w:val="none" w:sz="0" w:space="0" w:color="auto"/>
      </w:divBdr>
    </w:div>
    <w:div w:id="959727977">
      <w:bodyDiv w:val="1"/>
      <w:marLeft w:val="0"/>
      <w:marRight w:val="0"/>
      <w:marTop w:val="0"/>
      <w:marBottom w:val="0"/>
      <w:divBdr>
        <w:top w:val="none" w:sz="0" w:space="0" w:color="auto"/>
        <w:left w:val="none" w:sz="0" w:space="0" w:color="auto"/>
        <w:bottom w:val="none" w:sz="0" w:space="0" w:color="auto"/>
        <w:right w:val="none" w:sz="0" w:space="0" w:color="auto"/>
      </w:divBdr>
    </w:div>
    <w:div w:id="972441307">
      <w:bodyDiv w:val="1"/>
      <w:marLeft w:val="0"/>
      <w:marRight w:val="0"/>
      <w:marTop w:val="0"/>
      <w:marBottom w:val="0"/>
      <w:divBdr>
        <w:top w:val="none" w:sz="0" w:space="0" w:color="auto"/>
        <w:left w:val="none" w:sz="0" w:space="0" w:color="auto"/>
        <w:bottom w:val="none" w:sz="0" w:space="0" w:color="auto"/>
        <w:right w:val="none" w:sz="0" w:space="0" w:color="auto"/>
      </w:divBdr>
    </w:div>
    <w:div w:id="1000697692">
      <w:bodyDiv w:val="1"/>
      <w:marLeft w:val="0"/>
      <w:marRight w:val="0"/>
      <w:marTop w:val="0"/>
      <w:marBottom w:val="0"/>
      <w:divBdr>
        <w:top w:val="none" w:sz="0" w:space="0" w:color="auto"/>
        <w:left w:val="none" w:sz="0" w:space="0" w:color="auto"/>
        <w:bottom w:val="none" w:sz="0" w:space="0" w:color="auto"/>
        <w:right w:val="none" w:sz="0" w:space="0" w:color="auto"/>
      </w:divBdr>
    </w:div>
    <w:div w:id="1045059450">
      <w:bodyDiv w:val="1"/>
      <w:marLeft w:val="0"/>
      <w:marRight w:val="0"/>
      <w:marTop w:val="0"/>
      <w:marBottom w:val="0"/>
      <w:divBdr>
        <w:top w:val="none" w:sz="0" w:space="0" w:color="auto"/>
        <w:left w:val="none" w:sz="0" w:space="0" w:color="auto"/>
        <w:bottom w:val="none" w:sz="0" w:space="0" w:color="auto"/>
        <w:right w:val="none" w:sz="0" w:space="0" w:color="auto"/>
      </w:divBdr>
    </w:div>
    <w:div w:id="1078094868">
      <w:bodyDiv w:val="1"/>
      <w:marLeft w:val="0"/>
      <w:marRight w:val="0"/>
      <w:marTop w:val="0"/>
      <w:marBottom w:val="0"/>
      <w:divBdr>
        <w:top w:val="none" w:sz="0" w:space="0" w:color="auto"/>
        <w:left w:val="none" w:sz="0" w:space="0" w:color="auto"/>
        <w:bottom w:val="none" w:sz="0" w:space="0" w:color="auto"/>
        <w:right w:val="none" w:sz="0" w:space="0" w:color="auto"/>
      </w:divBdr>
    </w:div>
    <w:div w:id="1095519067">
      <w:bodyDiv w:val="1"/>
      <w:marLeft w:val="0"/>
      <w:marRight w:val="0"/>
      <w:marTop w:val="0"/>
      <w:marBottom w:val="0"/>
      <w:divBdr>
        <w:top w:val="none" w:sz="0" w:space="0" w:color="auto"/>
        <w:left w:val="none" w:sz="0" w:space="0" w:color="auto"/>
        <w:bottom w:val="none" w:sz="0" w:space="0" w:color="auto"/>
        <w:right w:val="none" w:sz="0" w:space="0" w:color="auto"/>
      </w:divBdr>
    </w:div>
    <w:div w:id="1121999319">
      <w:bodyDiv w:val="1"/>
      <w:marLeft w:val="0"/>
      <w:marRight w:val="0"/>
      <w:marTop w:val="0"/>
      <w:marBottom w:val="0"/>
      <w:divBdr>
        <w:top w:val="none" w:sz="0" w:space="0" w:color="auto"/>
        <w:left w:val="none" w:sz="0" w:space="0" w:color="auto"/>
        <w:bottom w:val="none" w:sz="0" w:space="0" w:color="auto"/>
        <w:right w:val="none" w:sz="0" w:space="0" w:color="auto"/>
      </w:divBdr>
    </w:div>
    <w:div w:id="1130592251">
      <w:bodyDiv w:val="1"/>
      <w:marLeft w:val="0"/>
      <w:marRight w:val="0"/>
      <w:marTop w:val="0"/>
      <w:marBottom w:val="0"/>
      <w:divBdr>
        <w:top w:val="none" w:sz="0" w:space="0" w:color="auto"/>
        <w:left w:val="none" w:sz="0" w:space="0" w:color="auto"/>
        <w:bottom w:val="none" w:sz="0" w:space="0" w:color="auto"/>
        <w:right w:val="none" w:sz="0" w:space="0" w:color="auto"/>
      </w:divBdr>
    </w:div>
    <w:div w:id="1147043801">
      <w:bodyDiv w:val="1"/>
      <w:marLeft w:val="0"/>
      <w:marRight w:val="0"/>
      <w:marTop w:val="0"/>
      <w:marBottom w:val="0"/>
      <w:divBdr>
        <w:top w:val="none" w:sz="0" w:space="0" w:color="auto"/>
        <w:left w:val="none" w:sz="0" w:space="0" w:color="auto"/>
        <w:bottom w:val="none" w:sz="0" w:space="0" w:color="auto"/>
        <w:right w:val="none" w:sz="0" w:space="0" w:color="auto"/>
      </w:divBdr>
    </w:div>
    <w:div w:id="1154832170">
      <w:bodyDiv w:val="1"/>
      <w:marLeft w:val="0"/>
      <w:marRight w:val="0"/>
      <w:marTop w:val="0"/>
      <w:marBottom w:val="0"/>
      <w:divBdr>
        <w:top w:val="none" w:sz="0" w:space="0" w:color="auto"/>
        <w:left w:val="none" w:sz="0" w:space="0" w:color="auto"/>
        <w:bottom w:val="none" w:sz="0" w:space="0" w:color="auto"/>
        <w:right w:val="none" w:sz="0" w:space="0" w:color="auto"/>
      </w:divBdr>
    </w:div>
    <w:div w:id="1164004560">
      <w:bodyDiv w:val="1"/>
      <w:marLeft w:val="0"/>
      <w:marRight w:val="0"/>
      <w:marTop w:val="0"/>
      <w:marBottom w:val="0"/>
      <w:divBdr>
        <w:top w:val="none" w:sz="0" w:space="0" w:color="auto"/>
        <w:left w:val="none" w:sz="0" w:space="0" w:color="auto"/>
        <w:bottom w:val="none" w:sz="0" w:space="0" w:color="auto"/>
        <w:right w:val="none" w:sz="0" w:space="0" w:color="auto"/>
      </w:divBdr>
    </w:div>
    <w:div w:id="1206140780">
      <w:bodyDiv w:val="1"/>
      <w:marLeft w:val="0"/>
      <w:marRight w:val="0"/>
      <w:marTop w:val="0"/>
      <w:marBottom w:val="0"/>
      <w:divBdr>
        <w:top w:val="none" w:sz="0" w:space="0" w:color="auto"/>
        <w:left w:val="none" w:sz="0" w:space="0" w:color="auto"/>
        <w:bottom w:val="none" w:sz="0" w:space="0" w:color="auto"/>
        <w:right w:val="none" w:sz="0" w:space="0" w:color="auto"/>
      </w:divBdr>
    </w:div>
    <w:div w:id="1208296631">
      <w:bodyDiv w:val="1"/>
      <w:marLeft w:val="0"/>
      <w:marRight w:val="0"/>
      <w:marTop w:val="0"/>
      <w:marBottom w:val="0"/>
      <w:divBdr>
        <w:top w:val="none" w:sz="0" w:space="0" w:color="auto"/>
        <w:left w:val="none" w:sz="0" w:space="0" w:color="auto"/>
        <w:bottom w:val="none" w:sz="0" w:space="0" w:color="auto"/>
        <w:right w:val="none" w:sz="0" w:space="0" w:color="auto"/>
      </w:divBdr>
    </w:div>
    <w:div w:id="1210457163">
      <w:bodyDiv w:val="1"/>
      <w:marLeft w:val="0"/>
      <w:marRight w:val="0"/>
      <w:marTop w:val="0"/>
      <w:marBottom w:val="0"/>
      <w:divBdr>
        <w:top w:val="none" w:sz="0" w:space="0" w:color="auto"/>
        <w:left w:val="none" w:sz="0" w:space="0" w:color="auto"/>
        <w:bottom w:val="none" w:sz="0" w:space="0" w:color="auto"/>
        <w:right w:val="none" w:sz="0" w:space="0" w:color="auto"/>
      </w:divBdr>
    </w:div>
    <w:div w:id="1225487161">
      <w:bodyDiv w:val="1"/>
      <w:marLeft w:val="0"/>
      <w:marRight w:val="0"/>
      <w:marTop w:val="0"/>
      <w:marBottom w:val="0"/>
      <w:divBdr>
        <w:top w:val="none" w:sz="0" w:space="0" w:color="auto"/>
        <w:left w:val="none" w:sz="0" w:space="0" w:color="auto"/>
        <w:bottom w:val="none" w:sz="0" w:space="0" w:color="auto"/>
        <w:right w:val="none" w:sz="0" w:space="0" w:color="auto"/>
      </w:divBdr>
    </w:div>
    <w:div w:id="1237784977">
      <w:bodyDiv w:val="1"/>
      <w:marLeft w:val="0"/>
      <w:marRight w:val="0"/>
      <w:marTop w:val="0"/>
      <w:marBottom w:val="0"/>
      <w:divBdr>
        <w:top w:val="none" w:sz="0" w:space="0" w:color="auto"/>
        <w:left w:val="none" w:sz="0" w:space="0" w:color="auto"/>
        <w:bottom w:val="none" w:sz="0" w:space="0" w:color="auto"/>
        <w:right w:val="none" w:sz="0" w:space="0" w:color="auto"/>
      </w:divBdr>
    </w:div>
    <w:div w:id="1239175379">
      <w:bodyDiv w:val="1"/>
      <w:marLeft w:val="0"/>
      <w:marRight w:val="0"/>
      <w:marTop w:val="0"/>
      <w:marBottom w:val="0"/>
      <w:divBdr>
        <w:top w:val="none" w:sz="0" w:space="0" w:color="auto"/>
        <w:left w:val="none" w:sz="0" w:space="0" w:color="auto"/>
        <w:bottom w:val="none" w:sz="0" w:space="0" w:color="auto"/>
        <w:right w:val="none" w:sz="0" w:space="0" w:color="auto"/>
      </w:divBdr>
    </w:div>
    <w:div w:id="1270816128">
      <w:bodyDiv w:val="1"/>
      <w:marLeft w:val="0"/>
      <w:marRight w:val="0"/>
      <w:marTop w:val="0"/>
      <w:marBottom w:val="0"/>
      <w:divBdr>
        <w:top w:val="none" w:sz="0" w:space="0" w:color="auto"/>
        <w:left w:val="none" w:sz="0" w:space="0" w:color="auto"/>
        <w:bottom w:val="none" w:sz="0" w:space="0" w:color="auto"/>
        <w:right w:val="none" w:sz="0" w:space="0" w:color="auto"/>
      </w:divBdr>
    </w:div>
    <w:div w:id="1306743499">
      <w:bodyDiv w:val="1"/>
      <w:marLeft w:val="0"/>
      <w:marRight w:val="0"/>
      <w:marTop w:val="0"/>
      <w:marBottom w:val="0"/>
      <w:divBdr>
        <w:top w:val="none" w:sz="0" w:space="0" w:color="auto"/>
        <w:left w:val="none" w:sz="0" w:space="0" w:color="auto"/>
        <w:bottom w:val="none" w:sz="0" w:space="0" w:color="auto"/>
        <w:right w:val="none" w:sz="0" w:space="0" w:color="auto"/>
      </w:divBdr>
    </w:div>
    <w:div w:id="1308509762">
      <w:bodyDiv w:val="1"/>
      <w:marLeft w:val="0"/>
      <w:marRight w:val="0"/>
      <w:marTop w:val="0"/>
      <w:marBottom w:val="0"/>
      <w:divBdr>
        <w:top w:val="none" w:sz="0" w:space="0" w:color="auto"/>
        <w:left w:val="none" w:sz="0" w:space="0" w:color="auto"/>
        <w:bottom w:val="none" w:sz="0" w:space="0" w:color="auto"/>
        <w:right w:val="none" w:sz="0" w:space="0" w:color="auto"/>
      </w:divBdr>
    </w:div>
    <w:div w:id="1358045122">
      <w:bodyDiv w:val="1"/>
      <w:marLeft w:val="0"/>
      <w:marRight w:val="0"/>
      <w:marTop w:val="0"/>
      <w:marBottom w:val="0"/>
      <w:divBdr>
        <w:top w:val="none" w:sz="0" w:space="0" w:color="auto"/>
        <w:left w:val="none" w:sz="0" w:space="0" w:color="auto"/>
        <w:bottom w:val="none" w:sz="0" w:space="0" w:color="auto"/>
        <w:right w:val="none" w:sz="0" w:space="0" w:color="auto"/>
      </w:divBdr>
    </w:div>
    <w:div w:id="1363290379">
      <w:bodyDiv w:val="1"/>
      <w:marLeft w:val="0"/>
      <w:marRight w:val="0"/>
      <w:marTop w:val="0"/>
      <w:marBottom w:val="0"/>
      <w:divBdr>
        <w:top w:val="none" w:sz="0" w:space="0" w:color="auto"/>
        <w:left w:val="none" w:sz="0" w:space="0" w:color="auto"/>
        <w:bottom w:val="none" w:sz="0" w:space="0" w:color="auto"/>
        <w:right w:val="none" w:sz="0" w:space="0" w:color="auto"/>
      </w:divBdr>
    </w:div>
    <w:div w:id="1369834509">
      <w:bodyDiv w:val="1"/>
      <w:marLeft w:val="0"/>
      <w:marRight w:val="0"/>
      <w:marTop w:val="0"/>
      <w:marBottom w:val="0"/>
      <w:divBdr>
        <w:top w:val="none" w:sz="0" w:space="0" w:color="auto"/>
        <w:left w:val="none" w:sz="0" w:space="0" w:color="auto"/>
        <w:bottom w:val="none" w:sz="0" w:space="0" w:color="auto"/>
        <w:right w:val="none" w:sz="0" w:space="0" w:color="auto"/>
      </w:divBdr>
    </w:div>
    <w:div w:id="1380788689">
      <w:bodyDiv w:val="1"/>
      <w:marLeft w:val="0"/>
      <w:marRight w:val="0"/>
      <w:marTop w:val="0"/>
      <w:marBottom w:val="0"/>
      <w:divBdr>
        <w:top w:val="none" w:sz="0" w:space="0" w:color="auto"/>
        <w:left w:val="none" w:sz="0" w:space="0" w:color="auto"/>
        <w:bottom w:val="none" w:sz="0" w:space="0" w:color="auto"/>
        <w:right w:val="none" w:sz="0" w:space="0" w:color="auto"/>
      </w:divBdr>
    </w:div>
    <w:div w:id="1388526258">
      <w:bodyDiv w:val="1"/>
      <w:marLeft w:val="0"/>
      <w:marRight w:val="0"/>
      <w:marTop w:val="0"/>
      <w:marBottom w:val="0"/>
      <w:divBdr>
        <w:top w:val="none" w:sz="0" w:space="0" w:color="auto"/>
        <w:left w:val="none" w:sz="0" w:space="0" w:color="auto"/>
        <w:bottom w:val="none" w:sz="0" w:space="0" w:color="auto"/>
        <w:right w:val="none" w:sz="0" w:space="0" w:color="auto"/>
      </w:divBdr>
    </w:div>
    <w:div w:id="1400590561">
      <w:bodyDiv w:val="1"/>
      <w:marLeft w:val="0"/>
      <w:marRight w:val="0"/>
      <w:marTop w:val="0"/>
      <w:marBottom w:val="0"/>
      <w:divBdr>
        <w:top w:val="none" w:sz="0" w:space="0" w:color="auto"/>
        <w:left w:val="none" w:sz="0" w:space="0" w:color="auto"/>
        <w:bottom w:val="none" w:sz="0" w:space="0" w:color="auto"/>
        <w:right w:val="none" w:sz="0" w:space="0" w:color="auto"/>
      </w:divBdr>
    </w:div>
    <w:div w:id="1411122558">
      <w:bodyDiv w:val="1"/>
      <w:marLeft w:val="0"/>
      <w:marRight w:val="0"/>
      <w:marTop w:val="0"/>
      <w:marBottom w:val="0"/>
      <w:divBdr>
        <w:top w:val="none" w:sz="0" w:space="0" w:color="auto"/>
        <w:left w:val="none" w:sz="0" w:space="0" w:color="auto"/>
        <w:bottom w:val="none" w:sz="0" w:space="0" w:color="auto"/>
        <w:right w:val="none" w:sz="0" w:space="0" w:color="auto"/>
      </w:divBdr>
    </w:div>
    <w:div w:id="1476677678">
      <w:bodyDiv w:val="1"/>
      <w:marLeft w:val="0"/>
      <w:marRight w:val="0"/>
      <w:marTop w:val="0"/>
      <w:marBottom w:val="0"/>
      <w:divBdr>
        <w:top w:val="none" w:sz="0" w:space="0" w:color="auto"/>
        <w:left w:val="none" w:sz="0" w:space="0" w:color="auto"/>
        <w:bottom w:val="none" w:sz="0" w:space="0" w:color="auto"/>
        <w:right w:val="none" w:sz="0" w:space="0" w:color="auto"/>
      </w:divBdr>
    </w:div>
    <w:div w:id="1530099429">
      <w:bodyDiv w:val="1"/>
      <w:marLeft w:val="0"/>
      <w:marRight w:val="0"/>
      <w:marTop w:val="0"/>
      <w:marBottom w:val="0"/>
      <w:divBdr>
        <w:top w:val="none" w:sz="0" w:space="0" w:color="auto"/>
        <w:left w:val="none" w:sz="0" w:space="0" w:color="auto"/>
        <w:bottom w:val="none" w:sz="0" w:space="0" w:color="auto"/>
        <w:right w:val="none" w:sz="0" w:space="0" w:color="auto"/>
      </w:divBdr>
    </w:div>
    <w:div w:id="1554930524">
      <w:bodyDiv w:val="1"/>
      <w:marLeft w:val="0"/>
      <w:marRight w:val="0"/>
      <w:marTop w:val="0"/>
      <w:marBottom w:val="0"/>
      <w:divBdr>
        <w:top w:val="none" w:sz="0" w:space="0" w:color="auto"/>
        <w:left w:val="none" w:sz="0" w:space="0" w:color="auto"/>
        <w:bottom w:val="none" w:sz="0" w:space="0" w:color="auto"/>
        <w:right w:val="none" w:sz="0" w:space="0" w:color="auto"/>
      </w:divBdr>
    </w:div>
    <w:div w:id="1604608811">
      <w:bodyDiv w:val="1"/>
      <w:marLeft w:val="0"/>
      <w:marRight w:val="0"/>
      <w:marTop w:val="0"/>
      <w:marBottom w:val="0"/>
      <w:divBdr>
        <w:top w:val="none" w:sz="0" w:space="0" w:color="auto"/>
        <w:left w:val="none" w:sz="0" w:space="0" w:color="auto"/>
        <w:bottom w:val="none" w:sz="0" w:space="0" w:color="auto"/>
        <w:right w:val="none" w:sz="0" w:space="0" w:color="auto"/>
      </w:divBdr>
    </w:div>
    <w:div w:id="1633755373">
      <w:bodyDiv w:val="1"/>
      <w:marLeft w:val="0"/>
      <w:marRight w:val="0"/>
      <w:marTop w:val="0"/>
      <w:marBottom w:val="0"/>
      <w:divBdr>
        <w:top w:val="none" w:sz="0" w:space="0" w:color="auto"/>
        <w:left w:val="none" w:sz="0" w:space="0" w:color="auto"/>
        <w:bottom w:val="none" w:sz="0" w:space="0" w:color="auto"/>
        <w:right w:val="none" w:sz="0" w:space="0" w:color="auto"/>
      </w:divBdr>
    </w:div>
    <w:div w:id="1650161900">
      <w:bodyDiv w:val="1"/>
      <w:marLeft w:val="0"/>
      <w:marRight w:val="0"/>
      <w:marTop w:val="0"/>
      <w:marBottom w:val="0"/>
      <w:divBdr>
        <w:top w:val="none" w:sz="0" w:space="0" w:color="auto"/>
        <w:left w:val="none" w:sz="0" w:space="0" w:color="auto"/>
        <w:bottom w:val="none" w:sz="0" w:space="0" w:color="auto"/>
        <w:right w:val="none" w:sz="0" w:space="0" w:color="auto"/>
      </w:divBdr>
    </w:div>
    <w:div w:id="1669863255">
      <w:bodyDiv w:val="1"/>
      <w:marLeft w:val="0"/>
      <w:marRight w:val="0"/>
      <w:marTop w:val="0"/>
      <w:marBottom w:val="0"/>
      <w:divBdr>
        <w:top w:val="none" w:sz="0" w:space="0" w:color="auto"/>
        <w:left w:val="none" w:sz="0" w:space="0" w:color="auto"/>
        <w:bottom w:val="none" w:sz="0" w:space="0" w:color="auto"/>
        <w:right w:val="none" w:sz="0" w:space="0" w:color="auto"/>
      </w:divBdr>
    </w:div>
    <w:div w:id="1679385331">
      <w:bodyDiv w:val="1"/>
      <w:marLeft w:val="0"/>
      <w:marRight w:val="0"/>
      <w:marTop w:val="0"/>
      <w:marBottom w:val="0"/>
      <w:divBdr>
        <w:top w:val="none" w:sz="0" w:space="0" w:color="auto"/>
        <w:left w:val="none" w:sz="0" w:space="0" w:color="auto"/>
        <w:bottom w:val="none" w:sz="0" w:space="0" w:color="auto"/>
        <w:right w:val="none" w:sz="0" w:space="0" w:color="auto"/>
      </w:divBdr>
    </w:div>
    <w:div w:id="1704742023">
      <w:bodyDiv w:val="1"/>
      <w:marLeft w:val="0"/>
      <w:marRight w:val="0"/>
      <w:marTop w:val="0"/>
      <w:marBottom w:val="0"/>
      <w:divBdr>
        <w:top w:val="none" w:sz="0" w:space="0" w:color="auto"/>
        <w:left w:val="none" w:sz="0" w:space="0" w:color="auto"/>
        <w:bottom w:val="none" w:sz="0" w:space="0" w:color="auto"/>
        <w:right w:val="none" w:sz="0" w:space="0" w:color="auto"/>
      </w:divBdr>
    </w:div>
    <w:div w:id="1747604726">
      <w:bodyDiv w:val="1"/>
      <w:marLeft w:val="0"/>
      <w:marRight w:val="0"/>
      <w:marTop w:val="0"/>
      <w:marBottom w:val="0"/>
      <w:divBdr>
        <w:top w:val="none" w:sz="0" w:space="0" w:color="auto"/>
        <w:left w:val="none" w:sz="0" w:space="0" w:color="auto"/>
        <w:bottom w:val="none" w:sz="0" w:space="0" w:color="auto"/>
        <w:right w:val="none" w:sz="0" w:space="0" w:color="auto"/>
      </w:divBdr>
    </w:div>
    <w:div w:id="1747721299">
      <w:bodyDiv w:val="1"/>
      <w:marLeft w:val="0"/>
      <w:marRight w:val="0"/>
      <w:marTop w:val="0"/>
      <w:marBottom w:val="0"/>
      <w:divBdr>
        <w:top w:val="none" w:sz="0" w:space="0" w:color="auto"/>
        <w:left w:val="none" w:sz="0" w:space="0" w:color="auto"/>
        <w:bottom w:val="none" w:sz="0" w:space="0" w:color="auto"/>
        <w:right w:val="none" w:sz="0" w:space="0" w:color="auto"/>
      </w:divBdr>
    </w:div>
    <w:div w:id="1771243035">
      <w:bodyDiv w:val="1"/>
      <w:marLeft w:val="0"/>
      <w:marRight w:val="0"/>
      <w:marTop w:val="0"/>
      <w:marBottom w:val="0"/>
      <w:divBdr>
        <w:top w:val="none" w:sz="0" w:space="0" w:color="auto"/>
        <w:left w:val="none" w:sz="0" w:space="0" w:color="auto"/>
        <w:bottom w:val="none" w:sz="0" w:space="0" w:color="auto"/>
        <w:right w:val="none" w:sz="0" w:space="0" w:color="auto"/>
      </w:divBdr>
    </w:div>
    <w:div w:id="1772503710">
      <w:bodyDiv w:val="1"/>
      <w:marLeft w:val="0"/>
      <w:marRight w:val="0"/>
      <w:marTop w:val="0"/>
      <w:marBottom w:val="0"/>
      <w:divBdr>
        <w:top w:val="none" w:sz="0" w:space="0" w:color="auto"/>
        <w:left w:val="none" w:sz="0" w:space="0" w:color="auto"/>
        <w:bottom w:val="none" w:sz="0" w:space="0" w:color="auto"/>
        <w:right w:val="none" w:sz="0" w:space="0" w:color="auto"/>
      </w:divBdr>
    </w:div>
    <w:div w:id="1777404520">
      <w:bodyDiv w:val="1"/>
      <w:marLeft w:val="0"/>
      <w:marRight w:val="0"/>
      <w:marTop w:val="0"/>
      <w:marBottom w:val="0"/>
      <w:divBdr>
        <w:top w:val="none" w:sz="0" w:space="0" w:color="auto"/>
        <w:left w:val="none" w:sz="0" w:space="0" w:color="auto"/>
        <w:bottom w:val="none" w:sz="0" w:space="0" w:color="auto"/>
        <w:right w:val="none" w:sz="0" w:space="0" w:color="auto"/>
      </w:divBdr>
    </w:div>
    <w:div w:id="1795515118">
      <w:bodyDiv w:val="1"/>
      <w:marLeft w:val="0"/>
      <w:marRight w:val="0"/>
      <w:marTop w:val="0"/>
      <w:marBottom w:val="0"/>
      <w:divBdr>
        <w:top w:val="none" w:sz="0" w:space="0" w:color="auto"/>
        <w:left w:val="none" w:sz="0" w:space="0" w:color="auto"/>
        <w:bottom w:val="none" w:sz="0" w:space="0" w:color="auto"/>
        <w:right w:val="none" w:sz="0" w:space="0" w:color="auto"/>
      </w:divBdr>
    </w:div>
    <w:div w:id="1832479359">
      <w:bodyDiv w:val="1"/>
      <w:marLeft w:val="0"/>
      <w:marRight w:val="0"/>
      <w:marTop w:val="0"/>
      <w:marBottom w:val="0"/>
      <w:divBdr>
        <w:top w:val="none" w:sz="0" w:space="0" w:color="auto"/>
        <w:left w:val="none" w:sz="0" w:space="0" w:color="auto"/>
        <w:bottom w:val="none" w:sz="0" w:space="0" w:color="auto"/>
        <w:right w:val="none" w:sz="0" w:space="0" w:color="auto"/>
      </w:divBdr>
    </w:div>
    <w:div w:id="1836266286">
      <w:bodyDiv w:val="1"/>
      <w:marLeft w:val="0"/>
      <w:marRight w:val="0"/>
      <w:marTop w:val="0"/>
      <w:marBottom w:val="0"/>
      <w:divBdr>
        <w:top w:val="none" w:sz="0" w:space="0" w:color="auto"/>
        <w:left w:val="none" w:sz="0" w:space="0" w:color="auto"/>
        <w:bottom w:val="none" w:sz="0" w:space="0" w:color="auto"/>
        <w:right w:val="none" w:sz="0" w:space="0" w:color="auto"/>
      </w:divBdr>
    </w:div>
    <w:div w:id="1935235855">
      <w:bodyDiv w:val="1"/>
      <w:marLeft w:val="0"/>
      <w:marRight w:val="0"/>
      <w:marTop w:val="0"/>
      <w:marBottom w:val="0"/>
      <w:divBdr>
        <w:top w:val="none" w:sz="0" w:space="0" w:color="auto"/>
        <w:left w:val="none" w:sz="0" w:space="0" w:color="auto"/>
        <w:bottom w:val="none" w:sz="0" w:space="0" w:color="auto"/>
        <w:right w:val="none" w:sz="0" w:space="0" w:color="auto"/>
      </w:divBdr>
    </w:div>
    <w:div w:id="2001234002">
      <w:bodyDiv w:val="1"/>
      <w:marLeft w:val="0"/>
      <w:marRight w:val="0"/>
      <w:marTop w:val="0"/>
      <w:marBottom w:val="0"/>
      <w:divBdr>
        <w:top w:val="none" w:sz="0" w:space="0" w:color="auto"/>
        <w:left w:val="none" w:sz="0" w:space="0" w:color="auto"/>
        <w:bottom w:val="none" w:sz="0" w:space="0" w:color="auto"/>
        <w:right w:val="none" w:sz="0" w:space="0" w:color="auto"/>
      </w:divBdr>
    </w:div>
    <w:div w:id="2015958149">
      <w:bodyDiv w:val="1"/>
      <w:marLeft w:val="0"/>
      <w:marRight w:val="0"/>
      <w:marTop w:val="0"/>
      <w:marBottom w:val="0"/>
      <w:divBdr>
        <w:top w:val="none" w:sz="0" w:space="0" w:color="auto"/>
        <w:left w:val="none" w:sz="0" w:space="0" w:color="auto"/>
        <w:bottom w:val="none" w:sz="0" w:space="0" w:color="auto"/>
        <w:right w:val="none" w:sz="0" w:space="0" w:color="auto"/>
      </w:divBdr>
    </w:div>
    <w:div w:id="2016615664">
      <w:bodyDiv w:val="1"/>
      <w:marLeft w:val="0"/>
      <w:marRight w:val="0"/>
      <w:marTop w:val="0"/>
      <w:marBottom w:val="0"/>
      <w:divBdr>
        <w:top w:val="none" w:sz="0" w:space="0" w:color="auto"/>
        <w:left w:val="none" w:sz="0" w:space="0" w:color="auto"/>
        <w:bottom w:val="none" w:sz="0" w:space="0" w:color="auto"/>
        <w:right w:val="none" w:sz="0" w:space="0" w:color="auto"/>
      </w:divBdr>
    </w:div>
    <w:div w:id="2035303071">
      <w:bodyDiv w:val="1"/>
      <w:marLeft w:val="0"/>
      <w:marRight w:val="0"/>
      <w:marTop w:val="0"/>
      <w:marBottom w:val="0"/>
      <w:divBdr>
        <w:top w:val="none" w:sz="0" w:space="0" w:color="auto"/>
        <w:left w:val="none" w:sz="0" w:space="0" w:color="auto"/>
        <w:bottom w:val="none" w:sz="0" w:space="0" w:color="auto"/>
        <w:right w:val="none" w:sz="0" w:space="0" w:color="auto"/>
      </w:divBdr>
    </w:div>
    <w:div w:id="2092117882">
      <w:bodyDiv w:val="1"/>
      <w:marLeft w:val="0"/>
      <w:marRight w:val="0"/>
      <w:marTop w:val="0"/>
      <w:marBottom w:val="0"/>
      <w:divBdr>
        <w:top w:val="none" w:sz="0" w:space="0" w:color="auto"/>
        <w:left w:val="none" w:sz="0" w:space="0" w:color="auto"/>
        <w:bottom w:val="none" w:sz="0" w:space="0" w:color="auto"/>
        <w:right w:val="none" w:sz="0" w:space="0" w:color="auto"/>
      </w:divBdr>
    </w:div>
    <w:div w:id="211073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E5BDE-308F-46FF-97CF-74585BB1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10</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Reiser (Student)</dc:creator>
  <cp:keywords/>
  <dc:description/>
  <cp:lastModifiedBy>Ryan Reiser (Student)</cp:lastModifiedBy>
  <cp:revision>9</cp:revision>
  <cp:lastPrinted>2025-05-07T05:56:00Z</cp:lastPrinted>
  <dcterms:created xsi:type="dcterms:W3CDTF">2025-05-07T02:00:00Z</dcterms:created>
  <dcterms:modified xsi:type="dcterms:W3CDTF">2025-05-07T05:56:00Z</dcterms:modified>
</cp:coreProperties>
</file>