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Supervised EnOpt Preprint —— 施工图（本地文档版）</w:t>
      </w:r>
    </w:p>
    <w:p>
      <w:r>
        <w:rPr>
          <w:b/>
        </w:rPr>
        <w:t>日期</w:t>
      </w:r>
      <w:r>
        <w:t xml:space="preserve">: 2026-09-05 · </w:t>
      </w:r>
      <w:r>
        <w:rPr>
          <w:b/>
        </w:rPr>
        <w:t>状态</w:t>
      </w:r>
      <w:r>
        <w:t>: v0 outline（单篇：β2-AR 主线 + FtsZ 无标签迁移 case study）</w:t>
      </w:r>
    </w:p>
    <w:p>
      <w:r>
        <w:rPr>
          <w:b/>
        </w:rPr>
        <w:t>权威版本</w:t>
      </w:r>
      <w:r>
        <w:t xml:space="preserve">: 新仓库 </w:t>
      </w:r>
      <w:r>
        <w:rPr>
          <w:rFonts w:ascii="Consolas" w:hAnsi="Consolas" w:eastAsia="Microsoft YaHei"/>
        </w:rPr>
        <w:t>supervised-enopt-preprint/docs/preprint_outline.md</w:t>
      </w:r>
      <w:r>
        <w:t>；来源仓库见文末备忘。</w:t>
      </w:r>
    </w:p>
    <w:p>
      <w:pPr>
        <w:pStyle w:val="Heading2"/>
      </w:pPr>
      <w:r>
        <w:t>标题候选（2026-09-05 新拟，待定稿）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★ 推荐</w:t>
            </w:r>
          </w:p>
        </w:tc>
        <w:tc>
          <w:tcPr>
            <w:tcW w:type="dxa" w:w="2880"/>
          </w:tcPr>
          <w:p>
            <w:r>
              <w:t>From consensus to learned ranking: reproducible ensemble docking for β2-adrenergic receptor screening, with a label-free FtsZ transfer case</w:t>
            </w:r>
          </w:p>
        </w:tc>
        <w:tc>
          <w:tcPr>
            <w:tcW w:type="dxa" w:w="2880"/>
          </w:tcPr>
          <w:p>
            <w:r>
              <w:t>点出 FtsZ→β2-AR 学术脉络（硕士项目先做 consensus pilot，本文升级为 learned ranking）</w:t>
            </w:r>
          </w:p>
        </w:tc>
      </w:tr>
      <w:tr>
        <w:tc>
          <w:tcPr>
            <w:tcW w:type="dxa" w:w="2880"/>
          </w:tcPr>
          <w:p>
            <w:r>
              <w:t>N1</w:t>
            </w:r>
          </w:p>
        </w:tc>
        <w:tc>
          <w:tcPr>
            <w:tcW w:type="dxa" w:w="2880"/>
          </w:tcPr>
          <w:p>
            <w:r>
              <w:t>Learning to rank docking-score ensembles: supervised reranking for the β2-adrenergic receptor</w:t>
            </w:r>
          </w:p>
        </w:tc>
        <w:tc>
          <w:tcPr>
            <w:tcW w:type="dxa" w:w="2880"/>
          </w:tcPr>
          <w:p>
            <w:r>
              <w:t>简洁聚焦</w:t>
            </w:r>
          </w:p>
        </w:tc>
      </w:tr>
      <w:tr>
        <w:tc>
          <w:tcPr>
            <w:tcW w:type="dxa" w:w="2880"/>
          </w:tcPr>
          <w:p>
            <w:r>
              <w:t>N2</w:t>
            </w:r>
          </w:p>
        </w:tc>
        <w:tc>
          <w:tcPr>
            <w:tcW w:type="dxa" w:w="2880"/>
          </w:tcPr>
          <w:p>
            <w:r>
              <w:t>What data can teach ensemble docking: a DUD-E-validated supervised EnOpt screen of β2-AR</w:t>
            </w:r>
          </w:p>
        </w:tc>
        <w:tc>
          <w:tcPr>
            <w:tcW w:type="dxa" w:w="2880"/>
          </w:tcPr>
          <w:p>
            <w:r>
              <w:t>强调验证链</w:t>
            </w:r>
          </w:p>
        </w:tc>
      </w:tr>
      <w:tr>
        <w:tc>
          <w:tcPr>
            <w:tcW w:type="dxa" w:w="2880"/>
          </w:tcPr>
          <w:p>
            <w:r>
              <w:t>N3</w:t>
            </w:r>
          </w:p>
        </w:tc>
        <w:tc>
          <w:tcPr>
            <w:tcW w:type="dxa" w:w="2880"/>
          </w:tcPr>
          <w:p>
            <w:r>
              <w:t>Ensemble docking, learned ranking, and honest limits: size-bias correction in a supervised β2-AR screen</w:t>
            </w:r>
          </w:p>
        </w:tc>
        <w:tc>
          <w:tcPr>
            <w:tcW w:type="dxa" w:w="2880"/>
          </w:tcPr>
          <w:p>
            <w:r>
              <w:t>强调“诚实边界”卖点</w:t>
            </w:r>
          </w:p>
        </w:tc>
      </w:tr>
      <w:tr>
        <w:tc>
          <w:tcPr>
            <w:tcW w:type="dxa" w:w="2880"/>
          </w:tcPr>
          <w:p>
            <w:r>
              <w:t>N5</w:t>
            </w:r>
          </w:p>
        </w:tc>
        <w:tc>
          <w:tcPr>
            <w:tcW w:type="dxa" w:w="2880"/>
          </w:tcPr>
          <w:p>
            <w:r>
              <w:t>Reproducible supervised ensemble docking: β2-AR benchmarks and a label-free transfer case on FtsZ</w:t>
            </w:r>
          </w:p>
        </w:tc>
        <w:tc>
          <w:tcPr>
            <w:tcW w:type="dxa" w:w="2880"/>
          </w:tcPr>
          <w:p>
            <w:r>
              <w:t>备选</w:t>
            </w:r>
          </w:p>
        </w:tc>
      </w:tr>
    </w:tbl>
    <w:p/>
    <w:p>
      <w:r>
        <w:rPr>
          <w:b/>
        </w:rPr>
        <w:t>中文工作标题（答辩/组会用）</w:t>
      </w:r>
      <w:r>
        <w:t>: 《从共识重排到监督重排：β2-肾上腺素受体多构象对接的可复现筛选与 FtsZ 无标签迁移案例》</w:t>
      </w:r>
    </w:p>
    <w:p>
      <w:pPr>
        <w:ind w:left="240"/>
      </w:pPr>
      <w:r>
        <w:rPr>
          <w:i/>
        </w:rPr>
        <w:t xml:space="preserve">Note (2026-09-05): 手稿已迁至新建独立仓库 </w:t>
      </w:r>
      <w:r>
        <w:rPr>
          <w:rFonts w:ascii="Consolas" w:hAnsi="Consolas" w:eastAsia="Microsoft YaHei"/>
          <w:i/>
        </w:rPr>
        <w:t>supervised-enopt-preprint</w:t>
      </w:r>
      <w:r>
        <w:rPr>
          <w:i/>
        </w:rPr>
        <w:t xml:space="preserve">;本文件为其镜像施工图,此后以新仓库 </w:t>
      </w:r>
      <w:r>
        <w:rPr>
          <w:rFonts w:ascii="Consolas" w:hAnsi="Consolas" w:eastAsia="Microsoft YaHei"/>
          <w:i/>
        </w:rPr>
        <w:t>docs/preprint_outline.md</w:t>
      </w:r>
      <w:r>
        <w:rPr>
          <w:i/>
        </w:rPr>
        <w:t xml:space="preserve"> 版本为准。</w:t>
      </w:r>
    </w:p>
    <w:p>
      <w:pPr>
        <w:ind w:left="240"/>
      </w:pPr>
      <w:r>
        <w:rPr>
          <w:i/>
        </w:rPr>
        <w:t>Status: v0 draft outline · 2026-09-05</w:t>
      </w:r>
    </w:p>
    <w:p>
      <w:pPr>
        <w:ind w:left="240"/>
      </w:pPr>
      <w:r>
        <w:rPr>
          <w:i/>
        </w:rPr>
        <w:t>用法:本文件是把两个仓库(Beta2AR_EnOpt_GPCR_Screening 主线 + FtsZ_Coumarin_HTVS_Reconstruction case study)写成一篇方法学 pre-print 的"施工图"。每一节都标注了:写什么、从哪个仓库文件取素材、哪些素材还需要新做。</w:t>
      </w:r>
    </w:p>
    <w:p>
      <w:pPr>
        <w:pStyle w:val="Heading2"/>
      </w:pPr>
      <w:r>
        <w:t>0. 决策日志 (Decisions)</w:t>
      </w:r>
    </w:p>
    <w:p>
      <w:pPr>
        <w:ind w:left="280" w:hanging="200"/>
      </w:pPr>
      <w:r>
        <w:t>• [x] 组织方式:</w:t>
      </w:r>
      <w:r>
        <w:rPr>
          <w:b/>
        </w:rPr>
        <w:t>单篇 preprint(已确认 2026-09-05)</w:t>
      </w:r>
      <w:r>
        <w:t>。主线 = β2-AR 监督 EnOpt;FtsZ 作为"同一框架在无实验标签场景的可迁移性"case study 小节。决策背景:作者硕士答辩已完成,FtsZ 无需独立可引用成果;两个代码仓库保持独立并互链,论文层面合一。</w:t>
      </w:r>
    </w:p>
    <w:p>
      <w:pPr>
        <w:ind w:left="280" w:hanging="200"/>
      </w:pPr>
      <w:r>
        <w:t xml:space="preserve">• [ ] 目标平台:建议先投 </w:t>
      </w:r>
      <w:r>
        <w:rPr>
          <w:b/>
        </w:rPr>
        <w:t>bioRxiv</w:t>
      </w:r>
      <w:r>
        <w:t>(bioinformatics/methods 板块)抢占时间戳,再视反馈投期刊(JCIM / J. Chem. Inf. Model. 这类纯计算方法学期刊最对口)。</w:t>
      </w:r>
    </w:p>
    <w:p>
      <w:pPr>
        <w:ind w:left="280" w:hanging="200"/>
      </w:pPr>
      <w:r>
        <w:t>• [x] 托管位置:</w:t>
      </w:r>
      <w:r>
        <w:rPr>
          <w:b/>
        </w:rPr>
        <w:t>已定(2026-09-05):新建独立仓库 `supervised-enopt-preprint`</w:t>
      </w:r>
      <w:r>
        <w:t xml:space="preserve">。本文档已镜像至该仓库 </w:t>
      </w:r>
      <w:r>
        <w:rPr>
          <w:rFonts w:ascii="Consolas" w:hAnsi="Consolas" w:eastAsia="Microsoft YaHei"/>
        </w:rPr>
        <w:t>docs/preprint_outline.md</w:t>
      </w:r>
      <w:r>
        <w:t>,此后以新仓库为准;本文件保留为 Beta2AR 侧导航入口。</w:t>
      </w:r>
    </w:p>
    <w:p>
      <w:pPr>
        <w:ind w:left="280" w:hanging="200"/>
      </w:pPr>
      <w:r>
        <w:t>• [ ] 语言:先英文成稿(目标期刊语言),中文版留给答辩/组会材料。</w:t>
      </w:r>
    </w:p>
    <w:p>
      <w:pPr>
        <w:pStyle w:val="Heading2"/>
      </w:pPr>
      <w:r>
        <w:t>1. 论文定位</w:t>
      </w:r>
    </w:p>
    <w:p>
      <w:pPr>
        <w:pStyle w:val="Heading3"/>
      </w:pPr>
      <w:r>
        <w:t>1.1 一句话主线</w:t>
      </w:r>
    </w:p>
    <w:p>
      <w:r>
        <w:rPr>
          <w:b/>
        </w:rPr>
        <w:t>把"多构象对接 + 用已知活性学习分数组合"(监督 EnOpt)做成一整套可复现工作流,并诚实回答三个问题:它比简单平均好在哪、系统性偏差(大分子虚高)怎么修、采样质量够不够。</w:t>
      </w:r>
    </w:p>
    <w:p>
      <w:pPr>
        <w:pStyle w:val="Heading3"/>
      </w:pPr>
      <w:r>
        <w:t>1.2 支持的主张 (claims,每一条都要有数据支撑)</w:t>
      </w:r>
    </w:p>
    <w:p>
      <w:pPr>
        <w:ind w:left="280"/>
      </w:pPr>
      <w:r>
        <w:t>1. 对 β2-AR,用 5 个活性/非活性构象做 ensemble docking 能稳定重现(Stage 1)。</w:t>
      </w:r>
    </w:p>
    <w:p>
      <w:pPr>
        <w:ind w:left="280"/>
      </w:pPr>
      <w:r>
        <w:t>2. 监督 EnOpt 的价值集中在</w:t>
      </w:r>
      <w:r>
        <w:rPr>
          <w:b/>
        </w:rPr>
        <w:t>榜单头部</w:t>
      </w:r>
      <w:r>
        <w:t>(top-1% EF ~2× oriented mean),而不是整体 AUROC;在 matched-decoy 硬测试上与正确朝向的简单平均统计持平(0.696 vs 0.719,CI 重叠)。</w:t>
      </w:r>
    </w:p>
    <w:p>
      <w:pPr>
        <w:ind w:left="280"/>
      </w:pPr>
      <w:r>
        <w:t>3. 追加 per-heavy-atom 分数可以</w:t>
      </w:r>
      <w:r>
        <w:rPr>
          <w:b/>
        </w:rPr>
        <w:t>同时</w:t>
      </w:r>
      <w:r>
        <w:t>修掉"大分子虚高"偏差并提高判别力(0.696→0.751,EF1 3.9→7.3)。</w:t>
      </w:r>
    </w:p>
    <w:p>
      <w:pPr>
        <w:ind w:left="280"/>
      </w:pPr>
      <w:r>
        <w:t>4. 提高 exhaustiveness(ex4→ex8)不改变结论(CI 重叠):瓶颈在受体/姿势建模,不在采样。</w:t>
      </w:r>
    </w:p>
    <w:p>
      <w:pPr>
        <w:ind w:left="280"/>
      </w:pPr>
      <w:r>
        <w:t>5. 无标签小规模场景(旧数据重构)仍可从 ensemble 重排获益(排序稳定性),但</w:t>
      </w:r>
      <w:r>
        <w:rPr>
          <w:b/>
        </w:rPr>
        <w:t>不能宣称活性</w:t>
      </w:r>
      <w:r>
        <w:t>。</w:t>
      </w:r>
    </w:p>
    <w:p>
      <w:pPr>
        <w:pStyle w:val="Heading3"/>
      </w:pPr>
      <w:r>
        <w:t>1.3 明确不主张 (non-claims)</w:t>
      </w:r>
    </w:p>
    <w:p>
      <w:pPr>
        <w:ind w:left="280" w:hanging="200"/>
      </w:pPr>
      <w:r>
        <w:t>• 不声称任何分子有实验活性;榜单只是采购/验证候选。</w:t>
      </w:r>
    </w:p>
    <w:p>
      <w:pPr>
        <w:ind w:left="280" w:hanging="200"/>
      </w:pPr>
      <w:r>
        <w:t>• 不声称监督 EnOpt 是普适优于 consensus 的方法(证据:硬测试两者统计持平)。</w:t>
      </w:r>
    </w:p>
    <w:p>
      <w:pPr>
        <w:ind w:left="280" w:hanging="200"/>
      </w:pPr>
      <w:r>
        <w:t>• FtsZ 部分不声称是完整 EnOpt 模型(无标签,仅为 EnOpt-style consensus)。</w:t>
      </w:r>
    </w:p>
    <w:p>
      <w:pPr>
        <w:pStyle w:val="Heading2"/>
      </w:pPr>
      <w:r>
        <w:t>2. 备选标题</w:t>
      </w:r>
    </w:p>
    <w:p>
      <w:pPr>
        <w:pStyle w:val="Heading2"/>
      </w:pPr>
      <w:r>
        <w:t>2. 备选标题（2026-09-05 新拟；旧 EN1-EN3 已作废）</w:t>
      </w:r>
    </w:p>
    <w:p>
      <w:pPr>
        <w:ind w:left="280" w:hanging="200"/>
      </w:pPr>
      <w:r>
        <w:t xml:space="preserve">• </w:t>
      </w:r>
      <w:r>
        <w:rPr>
          <w:b/>
        </w:rPr>
        <w:t>★ 推荐</w:t>
      </w:r>
      <w:r>
        <w:t>: *From consensus to learned ranking: reproducible ensemble docking for β2-adrenergic receptor screening, with a label-free FtsZ transfer case* —— 点出 FtsZ→β2-AR 学术脉络（硕士项目先做 consensus pilot，本文升级为 learned ranking）</w:t>
      </w:r>
    </w:p>
    <w:p>
      <w:pPr>
        <w:ind w:left="280" w:hanging="200"/>
      </w:pPr>
      <w:r>
        <w:t>• N1: *Learning to rank docking-score ensembles: supervised reranking for the β2-adrenergic receptor*</w:t>
      </w:r>
    </w:p>
    <w:p>
      <w:pPr>
        <w:ind w:left="280" w:hanging="200"/>
      </w:pPr>
      <w:r>
        <w:t>• N2: *What data can teach ensemble docking: a DUD-E-validated supervised EnOpt screen of β2-AR*</w:t>
      </w:r>
    </w:p>
    <w:p>
      <w:pPr>
        <w:ind w:left="280" w:hanging="200"/>
      </w:pPr>
      <w:r>
        <w:t>• N3: *Ensemble docking, learned ranking, and honest limits: size-bias correction in a supervised β2-AR screen*</w:t>
      </w:r>
    </w:p>
    <w:p>
      <w:pPr>
        <w:ind w:left="280" w:hanging="200"/>
      </w:pPr>
      <w:r>
        <w:t>• N5: *Reproducible supervised ensemble docking: β2-AR benchmarks and a label-free transfer case on FtsZ*</w:t>
      </w:r>
    </w:p>
    <w:p>
      <w:pPr>
        <w:ind w:left="280" w:hanging="200"/>
      </w:pPr>
      <w:r>
        <w:t>• CN(参考): 《从共识重排到监督重排：β2-肾上腺素受体多构象对接的可复现筛选与 FtsZ 无标签迁移案例》</w:t>
      </w:r>
    </w:p>
    <w:p>
      <w:pPr>
        <w:pStyle w:val="Heading2"/>
      </w:pPr>
      <w:r>
        <w:t>3. 手稿章节骨架</w:t>
      </w:r>
    </w:p>
    <w:p>
      <w:pPr>
        <w:pStyle w:val="Heading3"/>
      </w:pPr>
      <w:r>
        <w:t>Abstract (DRAFT v0,约 200 词,先改后定稿)</w:t>
      </w:r>
    </w:p>
    <w:p>
      <w:r>
        <w:t>High-throughput virtual screening against a single rigid receptor structure is cheap but unreliable: one scoring run cannot capture the conformational plasticity of G-protein-coupled receptors, and raw docking scores carry systematic biases such as molecular-size dependence. The ensemble-optimizer (EnOpt) concept addresses the first problem by combining per-conformation docking scores into one ranking, but its value depends on how scores are combined. We present a reproducible two-stage workflow that applies supervised EnOpt reranking to the β2-adrenergic receptor (β2-AR). 29,865 library molecules were docked against five active/inactive β2-AR conformations (149,325 docking runs, AutoDock Vina 1.2). An XGBoost model trained on known β2-AR actives (48, later expanded to 206 literature actives) and validated against 2,978 property-matched DUD-E decoys separated actives from decoys with out-of-fold AUROC 0.696 (95% CI 0.655-0.737), statistically indistinguishable from a correctly oriented five-pocket average but with roughly twofold top-1% enrichment. Appending per-heavy-atom-normalized scores raised AUROC to 0.751 (0.712-0.791) and removed the large-molecule ranking bias. Re-docking the validation set at exhaustiveness 8 left all conclusions unchanged (confidence intervals overlap), showing the remaining bottleneck is receptor and pose modelling rather than docking sampling. A chemical review of the top-200 shortlist shows the recommended candidates are diverse and novel (170 scaffolds; 192/200 have max-Tanimoto &lt; 0.4 to training actives). As a transfer case study, the same ensemble framework was applied to a legacy coumarin/FtsZ screen reconstructed from thesis spreadsheets without experimental labels, improving ranking stability but not permitting activity claims. All code, score tables, trained models, and reports are provided.</w:t>
      </w:r>
    </w:p>
    <w:p>
      <w:pPr>
        <w:pStyle w:val="Heading3"/>
      </w:pPr>
      <w:r>
        <w:t>1 Introduction (素材: 两个 README + docs/method_notes.md)</w:t>
      </w:r>
    </w:p>
    <w:p>
      <w:pPr>
        <w:ind w:left="280" w:hanging="200"/>
      </w:pPr>
      <w:r>
        <w:t>• 背景:VS 常用单构象刚性受体;GPCR 的 TM6 激活运动改变口袋 → 需要构象集合(引 EnOpt 论文 Bhatt et al. 2024;顺带 β2-AR 有丰富晶体结构)。</w:t>
      </w:r>
    </w:p>
    <w:p>
      <w:pPr>
        <w:ind w:left="280" w:hanging="200"/>
      </w:pPr>
      <w:r>
        <w:t>• 问题1:ensemble docking 产生"每个分子一组分数",怎么合成?(简单平均、best score、训练模型)。</w:t>
      </w:r>
    </w:p>
    <w:p>
      <w:pPr>
        <w:ind w:left="280" w:hanging="200"/>
      </w:pPr>
      <w:r>
        <w:t>• 问题2:评分函数系统偏差——Vina 分数与分子大小相关,大分子虚高。</w:t>
      </w:r>
    </w:p>
    <w:p>
      <w:pPr>
        <w:ind w:left="280" w:hanging="200"/>
      </w:pPr>
      <w:r>
        <w:t>• 问题3:ML 在 VS 里怎么用才可信——OOF 防自评、matched decoys、CI、失败案例报告。</w:t>
      </w:r>
    </w:p>
    <w:p>
      <w:pPr>
        <w:ind w:left="280" w:hanging="200"/>
      </w:pPr>
      <w:r>
        <w:t>• 目标:给出可复现 + 诚实评估的模板,并在第二个靶点(无标签旧数据)演示框架可迁移。</w:t>
      </w:r>
    </w:p>
    <w:p>
      <w:pPr>
        <w:pStyle w:val="Heading3"/>
      </w:pPr>
      <w:r>
        <w:t>2 Methods (素材: scripts/ 01-11 + revalidation_ex8/ + FtsZ scripts/)</w:t>
      </w:r>
    </w:p>
    <w:p>
      <w:pPr>
        <w:ind w:left="280" w:hanging="200"/>
      </w:pPr>
      <w:r>
        <w:t>• 2.1 通用框架定义(建议画成 Fig 1):</w:t>
      </w:r>
    </w:p>
    <w:p>
      <w:r>
        <w:t xml:space="preserve">  </w:t>
      </w:r>
      <w:r>
        <w:rPr>
          <w:rFonts w:ascii="Consolas" w:hAnsi="Consolas" w:eastAsia="Microsoft YaHei"/>
        </w:rPr>
        <w:t>输入库 → 配体/受体准备 → 多构象对接 → 分子×构象分数矩阵 → 合成器(consensus 或 supervised) → 验证 → 候选短名单</w:t>
      </w:r>
    </w:p>
    <w:p>
      <w:pPr>
        <w:ind w:left="280" w:hanging="200"/>
      </w:pPr>
      <w:r>
        <w:t>• 2.2 Case A(β2-AR):</w:t>
      </w:r>
    </w:p>
    <w:p>
      <w:r>
        <w:t xml:space="preserve">  - 受体:2RH1/5D5A(inactive)+ 4LDE/3SN6/4LDL(active),5 构象。</w:t>
      </w:r>
    </w:p>
    <w:p>
      <w:r>
        <w:t xml:space="preserve">  - 库:ChEMBL37 子集 30,000;准备成功 29,865;Vina 1.2 ex4。</w:t>
      </w:r>
    </w:p>
    <w:p>
      <w:r>
        <w:t xml:space="preserve">  - 正例:48 个库内已知活性 → 扩充到 206(ChEMBL pChEMBL≥6、置信≥8)。</w:t>
      </w:r>
    </w:p>
    <w:p>
      <w:r>
        <w:t xml:space="preserve">  - 负例:DUD-E decoys 2,978(性质匹配)。</w:t>
      </w:r>
    </w:p>
    <w:p>
      <w:r>
        <w:t xml:space="preserve">  - 特征/模型:XGBoost 3 折 OOF;raw 5 特征;raw+per-ha 10 特征;raw+ha+HAC 11。</w:t>
      </w:r>
    </w:p>
    <w:p>
      <w:r>
        <w:t xml:space="preserve">  - 稳健性:ex8(exhaustiveness 8, num_modes 20)重对接验证集与 top-200。</w:t>
      </w:r>
    </w:p>
    <w:p>
      <w:pPr>
        <w:ind w:left="280" w:hanging="200"/>
      </w:pPr>
      <w:r>
        <w:t>• 2.3 Case B(FtsZ):</w:t>
      </w:r>
    </w:p>
    <w:p>
      <w:r>
        <w:t xml:space="preserve">  - 旧工作簿重构(列含义按内容推断)、RDKit 去盐/规范化、双口袋(ezPocket 中心/残基锚)、Vina rerun、ANM 5 构象 ensemble、EnOpt-style 权重(无标签→只做秩一致性共识)。</w:t>
      </w:r>
    </w:p>
    <w:p>
      <w:pPr>
        <w:ind w:left="280" w:hanging="200"/>
      </w:pPr>
      <w:r>
        <w:t>• 2.4 验证协议:3 折 OOF、AUROC+95%CI、EF1/5、化学评审(Butina/Bemis-Murcko/Tanimoto 新颖性/PAINS-Brenk)。</w:t>
      </w:r>
    </w:p>
    <w:p>
      <w:pPr>
        <w:pStyle w:val="Heading3"/>
      </w:pPr>
      <w:r>
        <w:t>3 Results (素材: README Stage 1-5 表 + results/ 各目录)</w:t>
      </w:r>
    </w:p>
    <w:p>
      <w:pPr>
        <w:ind w:left="280" w:hanging="200"/>
      </w:pPr>
      <w:r>
        <w:t>• 3.1 β2-AR 数据集与对接(Stage1 数字)。</w:t>
      </w:r>
    </w:p>
    <w:p>
      <w:pPr>
        <w:ind w:left="280" w:hanging="200"/>
      </w:pPr>
      <w:r>
        <w:t>• 3.2 Stage2:48 正例时代 OOF 0.6647(说明当时 negative 假设的问题)→ 被 Stage3 取代。</w:t>
      </w:r>
    </w:p>
    <w:p>
      <w:pPr>
        <w:ind w:left="280" w:hanging="200"/>
      </w:pPr>
      <w:r>
        <w:t>• 3.3 Stage3 DUD-E 硬测试:0.696 vs oriented mean 0.719(CI 重叠);合并账目 0.718 vs 0.671;top-1% EF 3.88 vs 1.94。</w:t>
      </w:r>
    </w:p>
    <w:p>
      <w:pPr>
        <w:ind w:left="280" w:hanging="200"/>
      </w:pPr>
      <w:r>
        <w:t>• 3.4 Stage4 per-heavy-atom:0.696→0.751(EF1 7.28);尺寸偏差修复(MW top200 393→358)。</w:t>
      </w:r>
    </w:p>
    <w:p>
      <w:pPr>
        <w:ind w:left="280" w:hanging="200"/>
      </w:pPr>
      <w:r>
        <w:t>• 3.5 Stage4a 回顾与 top-200 化学评审:库里仅 50 个已知活性 → 回顾无统计功效;评审给出 170 scaffolds/192 novel/75 PAINS。</w:t>
      </w:r>
    </w:p>
    <w:p>
      <w:pPr>
        <w:ind w:left="280" w:hanging="200"/>
      </w:pPr>
      <w:r>
        <w:t>• 3.6 Stage5 ex8:验证集 0.654(0.612-0.695)/0.733(0.692-0.772),与 ex4 CI 重叠;top-200 排序稳定(Spearman 0.87-0.91,89/100 重合);CHEMBL776 仍垫底 → 系统性欠分案例。</w:t>
      </w:r>
    </w:p>
    <w:p>
      <w:pPr>
        <w:ind w:left="280" w:hanging="200"/>
      </w:pPr>
      <w:r>
        <w:t>• 3.7 FtsZ case:90 结构 450 dock;legacy vs ensemble 相关(BP2 Spearman ~0.80;BP1 ~0.53);top weighted hits 展示;无标签边界。</w:t>
      </w:r>
    </w:p>
    <w:p>
      <w:pPr>
        <w:pStyle w:val="Heading3"/>
      </w:pPr>
      <w:r>
        <w:t>4 Discussion &amp; Limitations (素材: 各 docs/*_notes.md 的 Honest reading)</w:t>
      </w:r>
    </w:p>
    <w:p>
      <w:pPr>
        <w:ind w:left="280" w:hanging="200"/>
      </w:pPr>
      <w:r>
        <w:t>• 4.1 何时 ML 有用:榜单头部富集、整库账目;何时没用:matched-decoy 整体 AUROC。</w:t>
      </w:r>
    </w:p>
    <w:p>
      <w:pPr>
        <w:ind w:left="280" w:hanging="200"/>
      </w:pPr>
      <w:r>
        <w:t>• 4.2 per-ha 是便宜且可复用的"偏差修复"特征;教训:特征要有化学意义。</w:t>
      </w:r>
    </w:p>
    <w:p>
      <w:pPr>
        <w:ind w:left="280" w:hanging="200"/>
      </w:pPr>
      <w:r>
        <w:t>• 4.3 采样 vs 模型:ex8 结果指向 receptor flexibility/IFP/pose 校验是下一瓶颈。</w:t>
      </w:r>
    </w:p>
    <w:p>
      <w:pPr>
        <w:ind w:left="280" w:hanging="200"/>
      </w:pPr>
      <w:r>
        <w:t>• 4.4 失败案例透明化(CHEMBL776)是加分项,建议保留为 figure/SI。</w:t>
      </w:r>
    </w:p>
    <w:p>
      <w:pPr>
        <w:ind w:left="280" w:hanging="200"/>
      </w:pPr>
      <w:r>
        <w:t>• 4.5 局限:无湿实验;decoy 匹配依赖性质;ChEMBL 回顾无统计功效;FtsZ 无标签 + ANM 构象 + 重建 box。</w:t>
      </w:r>
    </w:p>
    <w:p>
      <w:pPr>
        <w:pStyle w:val="Heading3"/>
      </w:pPr>
      <w:r>
        <w:t>5 Data &amp; Code Availability</w:t>
      </w:r>
    </w:p>
    <w:p>
      <w:pPr>
        <w:ind w:left="280" w:hanging="200"/>
      </w:pPr>
      <w:r>
        <w:t>• 归属与溯源:FtsZ 重构部分是作者硕士项目成果、早于本工作;在 Acknowledgement / Methods 中写明 lineage("the ensemble reranking idea was piloted in the author's FtsZ reconstruction, refs/URL")。β2-AR 为本工作主线。</w:t>
      </w:r>
    </w:p>
    <w:p>
      <w:pPr>
        <w:ind w:left="280" w:hanging="200"/>
      </w:pPr>
      <w:r>
        <w:t xml:space="preserve">• Beta2AR:数据全部 ChEMBL-derived 可公开;30k 库、分数表、模型、榜单在 </w:t>
      </w:r>
      <w:r>
        <w:rPr>
          <w:rFonts w:ascii="Consolas" w:hAnsi="Consolas" w:eastAsia="Microsoft YaHei"/>
        </w:rPr>
        <w:t>results/</w:t>
      </w:r>
      <w:r>
        <w:t>、</w:t>
      </w:r>
      <w:r>
        <w:rPr>
          <w:rFonts w:ascii="Consolas" w:hAnsi="Consolas" w:eastAsia="Microsoft YaHei"/>
        </w:rPr>
        <w:t>data/</w:t>
      </w:r>
      <w:r>
        <w:t>(models 是 XGBoost pickle)。</w:t>
      </w:r>
    </w:p>
    <w:p>
      <w:pPr>
        <w:ind w:left="280" w:hanging="200"/>
      </w:pPr>
      <w:r>
        <w:t xml:space="preserve">• FtsZ:重构表与结果公开;原始 thesis 工作簿与受体 PDB 在本地 </w:t>
      </w:r>
      <w:r>
        <w:rPr>
          <w:rFonts w:ascii="Consolas" w:hAnsi="Consolas" w:eastAsia="Microsoft YaHei"/>
        </w:rPr>
        <w:t>raw_inputs_staging/</w:t>
      </w:r>
      <w:r>
        <w:t xml:space="preserve">(不随仓库发布),数据可用性说明见 FtsZ </w:t>
      </w:r>
      <w:r>
        <w:rPr>
          <w:rFonts w:ascii="Consolas" w:hAnsi="Consolas" w:eastAsia="Microsoft YaHei"/>
        </w:rPr>
        <w:t>docs/data_availability.md</w:t>
      </w:r>
      <w:r>
        <w:t>。</w:t>
      </w:r>
    </w:p>
    <w:p>
      <w:pPr>
        <w:ind w:left="280" w:hanging="200"/>
      </w:pPr>
      <w:r>
        <w:t>• 环境:</w:t>
      </w:r>
      <w:r>
        <w:rPr>
          <w:rFonts w:ascii="Consolas" w:hAnsi="Consolas" w:eastAsia="Microsoft YaHei"/>
        </w:rPr>
        <w:t>environment-vina.yml</w:t>
      </w:r>
      <w:r>
        <w:t xml:space="preserve"> / </w:t>
      </w:r>
      <w:r>
        <w:rPr>
          <w:rFonts w:ascii="Consolas" w:hAnsi="Consolas" w:eastAsia="Microsoft YaHei"/>
        </w:rPr>
        <w:t>requirements.txt</w:t>
      </w:r>
      <w:r>
        <w:t>。</w:t>
      </w:r>
    </w:p>
    <w:p>
      <w:pPr>
        <w:pStyle w:val="Heading2"/>
      </w:pPr>
      <w:r>
        <w:t>4. 图/表计划(映射到仓库文件)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素材来源(现有)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需要新做</w:t>
            </w:r>
          </w:p>
        </w:tc>
      </w:tr>
      <w:tr>
        <w:tc>
          <w:tcPr>
            <w:tcW w:type="dxa" w:w="2160"/>
          </w:tcPr>
          <w:p>
            <w:r>
              <w:t>Fig 1</w:t>
            </w:r>
          </w:p>
        </w:tc>
        <w:tc>
          <w:tcPr>
            <w:tcW w:type="dxa" w:w="2160"/>
          </w:tcPr>
          <w:p>
            <w:r>
              <w:t>通用框架示意(两靶点共用)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新画(建议矢量图;风格参考 FtsZ workflow_summary.png)</w:t>
            </w:r>
          </w:p>
        </w:tc>
      </w:tr>
      <w:tr>
        <w:tc>
          <w:tcPr>
            <w:tcW w:type="dxa" w:w="2160"/>
          </w:tcPr>
          <w:p>
            <w:r>
              <w:t>Fig 2</w:t>
            </w:r>
          </w:p>
        </w:tc>
        <w:tc>
          <w:tcPr>
            <w:tcW w:type="dxa" w:w="2160"/>
          </w:tcPr>
          <w:p>
            <w:r>
              <w:t>β2-AR 工作流/数据规模总览</w:t>
            </w:r>
          </w:p>
        </w:tc>
        <w:tc>
          <w:tcPr>
            <w:tcW w:type="dxa" w:w="2160"/>
          </w:tcPr>
          <w:p>
            <w:r>
              <w:t xml:space="preserve">FtsZ </w:t>
            </w:r>
            <w:r>
              <w:rPr>
                <w:rFonts w:ascii="Consolas" w:hAnsi="Consolas" w:eastAsia="Microsoft YaHei"/>
              </w:rPr>
              <w:t>results/figures/workflow_summary.png</w:t>
            </w:r>
            <w:r>
              <w:t>(风格参考)</w:t>
            </w:r>
          </w:p>
        </w:tc>
        <w:tc>
          <w:tcPr>
            <w:tcW w:type="dxa" w:w="2160"/>
          </w:tcPr>
          <w:p>
            <w:r>
              <w:t>新做一张 β2-AR 版</w:t>
            </w:r>
          </w:p>
        </w:tc>
      </w:tr>
      <w:tr>
        <w:tc>
          <w:tcPr>
            <w:tcW w:type="dxa" w:w="2160"/>
          </w:tcPr>
          <w:p>
            <w:r>
              <w:t>Fig 3</w:t>
            </w:r>
          </w:p>
        </w:tc>
        <w:tc>
          <w:tcPr>
            <w:tcW w:type="dxa" w:w="2160"/>
          </w:tcPr>
          <w:p>
            <w:r>
              <w:t>构象分数分布与 top hits</w:t>
            </w:r>
          </w:p>
        </w:tc>
        <w:tc>
          <w:tcPr>
            <w:tcW w:type="dxa" w:w="2160"/>
          </w:tcPr>
          <w:p>
            <w:r>
              <w:t xml:space="preserve">Beta2AR </w:t>
            </w:r>
            <w:r>
              <w:rPr>
                <w:rFonts w:ascii="Consolas" w:hAnsi="Consolas" w:eastAsia="Microsoft YaHei"/>
              </w:rPr>
              <w:t>results/figures/score_distributions.png</w:t>
            </w:r>
            <w:r>
              <w:t>、</w:t>
            </w:r>
            <w:r>
              <w:rPr>
                <w:rFonts w:ascii="Consolas" w:hAnsi="Consolas" w:eastAsia="Microsoft YaHei"/>
              </w:rPr>
              <w:t>enopt_weighted_top_hits.png</w:t>
            </w:r>
            <w:r>
              <w:t>;</w:t>
            </w:r>
            <w:r>
              <w:rPr>
                <w:rFonts w:ascii="Consolas" w:hAnsi="Consolas" w:eastAsia="Microsoft YaHei"/>
              </w:rPr>
              <w:t>supervised_enopt/fig1_score_comparison.png</w:t>
            </w:r>
            <w:r>
              <w:t>/fig2/fig3</w:t>
            </w:r>
          </w:p>
        </w:tc>
        <w:tc>
          <w:tcPr>
            <w:tcW w:type="dxa" w:w="2160"/>
          </w:tcPr>
          <w:p>
            <w:r>
              <w:t>按投稿尺寸重排</w:t>
            </w:r>
          </w:p>
        </w:tc>
      </w:tr>
      <w:tr>
        <w:tc>
          <w:tcPr>
            <w:tcW w:type="dxa" w:w="2160"/>
          </w:tcPr>
          <w:p>
            <w:r>
              <w:t>Fig 4</w:t>
            </w:r>
          </w:p>
        </w:tc>
        <w:tc>
          <w:tcPr>
            <w:tcW w:type="dxa" w:w="2160"/>
          </w:tcPr>
          <w:p>
            <w:r>
              <w:t>DUD-E 验证结果(ROC/EF/CI)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</w:rPr>
              <w:t>supervised_enopt_decoy/fig_decoy_validation.png</w:t>
            </w:r>
          </w:p>
        </w:tc>
        <w:tc>
          <w:tcPr>
            <w:tcW w:type="dxa" w:w="2160"/>
          </w:tcPr>
          <w:p>
            <w:r>
              <w:t>可选合并成投稿版</w:t>
            </w:r>
          </w:p>
        </w:tc>
      </w:tr>
      <w:tr>
        <w:tc>
          <w:tcPr>
            <w:tcW w:type="dxa" w:w="2160"/>
          </w:tcPr>
          <w:p>
            <w:r>
              <w:t>Fig 5</w:t>
            </w:r>
          </w:p>
        </w:tc>
        <w:tc>
          <w:tcPr>
            <w:tcW w:type="dxa" w:w="2160"/>
          </w:tcPr>
          <w:p>
            <w:r>
              <w:t>per-heavy-atom 特征对比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</w:rPr>
              <w:t>feature_experiment_heavy_atom/fig_feature_comparison.png</w:t>
            </w:r>
          </w:p>
        </w:tc>
        <w:tc>
          <w:tcPr>
            <w:tcW w:type="dxa" w:w="2160"/>
          </w:tcPr>
          <w:p>
            <w:r>
              <w:t>高亮 0.696→0.751</w:t>
            </w:r>
          </w:p>
        </w:tc>
      </w:tr>
      <w:tr>
        <w:tc>
          <w:tcPr>
            <w:tcW w:type="dxa" w:w="2160"/>
          </w:tcPr>
          <w:p>
            <w:r>
              <w:t>Fig 6</w:t>
            </w:r>
          </w:p>
        </w:tc>
        <w:tc>
          <w:tcPr>
            <w:tcW w:type="dxa" w:w="2160"/>
          </w:tcPr>
          <w:p>
            <w:r>
              <w:t>ex4 vs ex8 稳健性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</w:rPr>
              <w:t>ex8_rerank/fig_ex4_vs_ex8.png</w:t>
            </w:r>
          </w:p>
        </w:tc>
        <w:tc>
          <w:tcPr>
            <w:tcW w:type="dxa" w:w="2160"/>
          </w:tcPr>
          <w:p>
            <w:r>
              <w:t>补充 CHEMBL776 标注</w:t>
            </w:r>
          </w:p>
        </w:tc>
      </w:tr>
      <w:tr>
        <w:tc>
          <w:tcPr>
            <w:tcW w:type="dxa" w:w="2160"/>
          </w:tcPr>
          <w:p>
            <w:r>
              <w:t>Fig 7</w:t>
            </w:r>
          </w:p>
        </w:tc>
        <w:tc>
          <w:tcPr>
            <w:tcW w:type="dxa" w:w="2160"/>
          </w:tcPr>
          <w:p>
            <w:r>
              <w:t>top-200 化学评审(MW/HAC、新颖性、PAINS)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</w:rPr>
              <w:t>review_top200_ha/fig_top200_properties_vs_actives.png</w:t>
            </w:r>
          </w:p>
        </w:tc>
        <w:tc>
          <w:tcPr>
            <w:tcW w:type="dxa" w:w="2160"/>
          </w:tcPr>
          <w:p>
            <w:r>
              <w:t>可加化学空间 t-SNE</w:t>
            </w:r>
          </w:p>
        </w:tc>
      </w:tr>
      <w:tr>
        <w:tc>
          <w:tcPr>
            <w:tcW w:type="dxa" w:w="2160"/>
          </w:tcPr>
          <w:p>
            <w:r>
              <w:t>Fig 8</w:t>
            </w:r>
          </w:p>
        </w:tc>
        <w:tc>
          <w:tcPr>
            <w:tcW w:type="dxa" w:w="2160"/>
          </w:tcPr>
          <w:p>
            <w:r>
              <w:t>FtsZ case:rerun 一致性 + ensemble 重排</w:t>
            </w:r>
          </w:p>
        </w:tc>
        <w:tc>
          <w:tcPr>
            <w:tcW w:type="dxa" w:w="2160"/>
          </w:tcPr>
          <w:p>
            <w:r>
              <w:t xml:space="preserve">FtsZ </w:t>
            </w:r>
            <w:r>
              <w:rPr>
                <w:rFonts w:ascii="Consolas" w:hAnsi="Consolas" w:eastAsia="Microsoft YaHei"/>
              </w:rPr>
              <w:t>results/figures/vina_rerun_vs_original_scores.png</w:t>
            </w:r>
            <w:r>
              <w:t>、</w:t>
            </w:r>
            <w:r>
              <w:rPr>
                <w:rFonts w:ascii="Consolas" w:hAnsi="Consolas" w:eastAsia="Microsoft YaHei"/>
              </w:rPr>
              <w:t>enopt_style_reranking_vs_legacy.png</w:t>
            </w:r>
            <w:r>
              <w:t>、</w:t>
            </w:r>
            <w:r>
              <w:rPr>
                <w:rFonts w:ascii="Consolas" w:hAnsi="Consolas" w:eastAsia="Microsoft YaHei"/>
              </w:rPr>
              <w:t>ensemble_score_matrix_heatmap.png</w:t>
            </w:r>
          </w:p>
        </w:tc>
        <w:tc>
          <w:tcPr>
            <w:tcW w:type="dxa" w:w="2160"/>
          </w:tcPr>
          <w:p>
            <w:r>
              <w:t>裁剪合并</w:t>
            </w:r>
          </w:p>
        </w:tc>
      </w:tr>
      <w:tr>
        <w:tc>
          <w:tcPr>
            <w:tcW w:type="dxa" w:w="2160"/>
          </w:tcPr>
          <w:p>
            <w:r>
              <w:t>Table 1</w:t>
            </w:r>
          </w:p>
        </w:tc>
        <w:tc>
          <w:tcPr>
            <w:tcW w:type="dxa" w:w="2160"/>
          </w:tcPr>
          <w:p>
            <w:r>
              <w:t>两靶点数据集总览</w:t>
            </w:r>
          </w:p>
        </w:tc>
        <w:tc>
          <w:tcPr>
            <w:tcW w:type="dxa" w:w="2160"/>
          </w:tcPr>
          <w:p>
            <w:r>
              <w:t>两 README Summary 表</w:t>
            </w:r>
          </w:p>
        </w:tc>
        <w:tc>
          <w:tcPr>
            <w:tcW w:type="dxa" w:w="2160"/>
          </w:tcPr>
          <w:p>
            <w:r>
              <w:t>汇总成一张</w:t>
            </w:r>
          </w:p>
        </w:tc>
      </w:tr>
      <w:tr>
        <w:tc>
          <w:tcPr>
            <w:tcW w:type="dxa" w:w="2160"/>
          </w:tcPr>
          <w:p>
            <w:r>
              <w:t>Table 2</w:t>
            </w:r>
          </w:p>
        </w:tc>
        <w:tc>
          <w:tcPr>
            <w:tcW w:type="dxa" w:w="2160"/>
          </w:tcPr>
          <w:p>
            <w:r>
              <w:t>β2-AR 验证主结果(raw / raw+ha / ex4 / ex8 + EF)</w:t>
            </w:r>
          </w:p>
        </w:tc>
        <w:tc>
          <w:tcPr>
            <w:tcW w:type="dxa" w:w="2160"/>
          </w:tcPr>
          <w:p>
            <w:r>
              <w:t>README Stage 3-5 表</w:t>
            </w:r>
          </w:p>
        </w:tc>
        <w:tc>
          <w:tcPr>
            <w:tcW w:type="dxa" w:w="2160"/>
          </w:tcPr>
          <w:p>
            <w:r>
              <w:t>汇总</w:t>
            </w:r>
          </w:p>
        </w:tc>
      </w:tr>
      <w:tr>
        <w:tc>
          <w:tcPr>
            <w:tcW w:type="dxa" w:w="2160"/>
          </w:tcPr>
          <w:p>
            <w:r>
              <w:t>Table 3</w:t>
            </w:r>
          </w:p>
        </w:tc>
        <w:tc>
          <w:tcPr>
            <w:tcW w:type="dxa" w:w="2160"/>
          </w:tcPr>
          <w:p>
            <w:r>
              <w:t>FtsZ legacy-vs-rerun / ensemble 相关</w:t>
            </w:r>
          </w:p>
        </w:tc>
        <w:tc>
          <w:tcPr>
            <w:tcW w:type="dxa" w:w="2160"/>
          </w:tcPr>
          <w:p>
            <w:r>
              <w:t xml:space="preserve">FtsZ </w:t>
            </w:r>
            <w:r>
              <w:rPr>
                <w:rFonts w:ascii="Consolas" w:hAnsi="Consolas" w:eastAsia="Microsoft YaHei"/>
              </w:rPr>
              <w:t>results/tables/enopt_style_correlations.csv</w:t>
            </w:r>
            <w:r>
              <w:t>、</w:t>
            </w:r>
            <w:r>
              <w:rPr>
                <w:rFonts w:ascii="Consolas" w:hAnsi="Consolas" w:eastAsia="Microsoft YaHei"/>
              </w:rPr>
              <w:t>vina_rerun_correlations.csv</w:t>
            </w:r>
          </w:p>
        </w:tc>
        <w:tc>
          <w:tcPr>
            <w:tcW w:type="dxa" w:w="2160"/>
          </w:tcPr>
          <w:p>
            <w:r>
              <w:t>汇总</w:t>
            </w:r>
          </w:p>
        </w:tc>
      </w:tr>
      <w:tr>
        <w:tc>
          <w:tcPr>
            <w:tcW w:type="dxa" w:w="2160"/>
          </w:tcPr>
          <w:p>
            <w:r>
              <w:t>Table 4(SI)</w:t>
            </w:r>
          </w:p>
        </w:tc>
        <w:tc>
          <w:tcPr>
            <w:tcW w:type="dxa" w:w="2160"/>
          </w:tcPr>
          <w:p>
            <w:r>
              <w:t>完整榜单/评审/模型卡索引</w:t>
            </w:r>
          </w:p>
        </w:tc>
        <w:tc>
          <w:tcPr>
            <w:tcW w:type="dxa" w:w="2160"/>
          </w:tcPr>
          <w:p>
            <w:r>
              <w:t>见 §6 SI 清单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</w:tbl>
    <w:p/>
    <w:p>
      <w:pPr>
        <w:pStyle w:val="Heading2"/>
      </w:pPr>
      <w:r>
        <w:t>5. 数字速查表(全篇必须一致,写稿时以此为准)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β2-AR 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库规模</w:t>
            </w:r>
          </w:p>
        </w:tc>
        <w:tc>
          <w:tcPr>
            <w:tcW w:type="dxa" w:w="2880"/>
          </w:tcPr>
          <w:p>
            <w:r>
              <w:t>30,000 → 29,865 可对接</w:t>
            </w:r>
          </w:p>
        </w:tc>
        <w:tc>
          <w:tcPr>
            <w:tcW w:type="dxa" w:w="2880"/>
          </w:tcPr>
          <w:p>
            <w:r>
              <w:t>149,325 rows</w:t>
            </w:r>
          </w:p>
        </w:tc>
      </w:tr>
      <w:tr>
        <w:tc>
          <w:tcPr>
            <w:tcW w:type="dxa" w:w="2880"/>
          </w:tcPr>
          <w:p>
            <w:r>
              <w:t>构象</w:t>
            </w:r>
          </w:p>
        </w:tc>
        <w:tc>
          <w:tcPr>
            <w:tcW w:type="dxa" w:w="2880"/>
          </w:tcPr>
          <w:p>
            <w:r>
              <w:t>5(2 inactive + 3 active)</w:t>
            </w:r>
          </w:p>
        </w:tc>
        <w:tc>
          <w:tcPr>
            <w:tcW w:type="dxa" w:w="2880"/>
          </w:tcPr>
          <w:p>
            <w:r>
              <w:t>2RH1/5D5A/4LDE/3SN6/4LDL</w:t>
            </w:r>
          </w:p>
        </w:tc>
      </w:tr>
      <w:tr>
        <w:tc>
          <w:tcPr>
            <w:tcW w:type="dxa" w:w="2880"/>
          </w:tcPr>
          <w:p>
            <w:r>
              <w:t>Stage2 正例</w:t>
            </w:r>
          </w:p>
        </w:tc>
        <w:tc>
          <w:tcPr>
            <w:tcW w:type="dxa" w:w="2880"/>
          </w:tcPr>
          <w:p>
            <w:r>
              <w:t>48(库内)</w:t>
            </w:r>
          </w:p>
        </w:tc>
        <w:tc>
          <w:tcPr>
            <w:tcW w:type="dxa" w:w="2880"/>
          </w:tcPr>
          <w:p>
            <w:r>
              <w:t>OOF 0.6647(基线未校正,已被取代)</w:t>
            </w:r>
          </w:p>
        </w:tc>
      </w:tr>
      <w:tr>
        <w:tc>
          <w:tcPr>
            <w:tcW w:type="dxa" w:w="2880"/>
          </w:tcPr>
          <w:p>
            <w:r>
              <w:t>Stage3 正/负</w:t>
            </w:r>
          </w:p>
        </w:tc>
        <w:tc>
          <w:tcPr>
            <w:tcW w:type="dxa" w:w="2880"/>
          </w:tcPr>
          <w:p>
            <w:r>
              <w:t>206 / 2,978 DUD-E decoys</w:t>
            </w:r>
          </w:p>
        </w:tc>
        <w:tc>
          <w:tcPr>
            <w:tcW w:type="dxa" w:w="2880"/>
          </w:tcPr>
          <w:p>
            <w:r>
              <w:t>硬测试</w:t>
            </w:r>
          </w:p>
        </w:tc>
      </w:tr>
      <w:tr>
        <w:tc>
          <w:tcPr>
            <w:tcW w:type="dxa" w:w="2880"/>
          </w:tcPr>
          <w:p>
            <w:r>
              <w:t>Stage3 OOF AUROC</w:t>
            </w:r>
          </w:p>
        </w:tc>
        <w:tc>
          <w:tcPr>
            <w:tcW w:type="dxa" w:w="2880"/>
          </w:tcPr>
          <w:p>
            <w:r>
              <w:t>0.696(0.655-0.737)</w:t>
            </w:r>
          </w:p>
        </w:tc>
        <w:tc>
          <w:tcPr>
            <w:tcW w:type="dxa" w:w="2880"/>
          </w:tcPr>
          <w:p>
            <w:r>
              <w:t>EF1 3.88 / EF5 2.72</w:t>
            </w:r>
          </w:p>
        </w:tc>
      </w:tr>
      <w:tr>
        <w:tc>
          <w:tcPr>
            <w:tcW w:type="dxa" w:w="2880"/>
          </w:tcPr>
          <w:p>
            <w:r>
              <w:t>oriented mean(硬测试)</w:t>
            </w:r>
          </w:p>
        </w:tc>
        <w:tc>
          <w:tcPr>
            <w:tcW w:type="dxa" w:w="2880"/>
          </w:tcPr>
          <w:p>
            <w:r>
              <w:t>0.719(0.679-0.760)</w:t>
            </w:r>
          </w:p>
        </w:tc>
        <w:tc>
          <w:tcPr>
            <w:tcW w:type="dxa" w:w="2880"/>
          </w:tcPr>
          <w:p>
            <w:r>
              <w:t>与 EnOpt CI 重叠</w:t>
            </w:r>
          </w:p>
        </w:tc>
      </w:tr>
      <w:tr>
        <w:tc>
          <w:tcPr>
            <w:tcW w:type="dxa" w:w="2880"/>
          </w:tcPr>
          <w:p>
            <w:r>
              <w:t>合并账目 AUROC</w:t>
            </w:r>
          </w:p>
        </w:tc>
        <w:tc>
          <w:tcPr>
            <w:tcW w:type="dxa" w:w="2880"/>
          </w:tcPr>
          <w:p>
            <w:r>
              <w:t>EnOpt 0.718 / mean 0.671</w:t>
            </w:r>
          </w:p>
        </w:tc>
        <w:tc>
          <w:tcPr>
            <w:tcW w:type="dxa" w:w="2880"/>
          </w:tcPr>
          <w:p>
            <w:r>
              <w:t>全库+decoys+新活性</w:t>
            </w:r>
          </w:p>
        </w:tc>
      </w:tr>
      <w:tr>
        <w:tc>
          <w:tcPr>
            <w:tcW w:type="dxa" w:w="2880"/>
          </w:tcPr>
          <w:p>
            <w:r>
              <w:t>raw+per-ha AUROC</w:t>
            </w:r>
          </w:p>
        </w:tc>
        <w:tc>
          <w:tcPr>
            <w:tcW w:type="dxa" w:w="2880"/>
          </w:tcPr>
          <w:p>
            <w:r>
              <w:t>0.751(0.712-0.791)</w:t>
            </w:r>
          </w:p>
        </w:tc>
        <w:tc>
          <w:tcPr>
            <w:tcW w:type="dxa" w:w="2880"/>
          </w:tcPr>
          <w:p>
            <w:r>
              <w:t>EF1 7.28 / EF5 4.76</w:t>
            </w:r>
          </w:p>
        </w:tc>
      </w:tr>
      <w:tr>
        <w:tc>
          <w:tcPr>
            <w:tcW w:type="dxa" w:w="2880"/>
          </w:tcPr>
          <w:p>
            <w:r>
              <w:t>top200 MW(Stage3→raw+ha)</w:t>
            </w:r>
          </w:p>
        </w:tc>
        <w:tc>
          <w:tcPr>
            <w:tcW w:type="dxa" w:w="2880"/>
          </w:tcPr>
          <w:p>
            <w:r>
              <w:t>393 → 358</w:t>
            </w:r>
          </w:p>
        </w:tc>
        <w:tc>
          <w:tcPr>
            <w:tcW w:type="dxa" w:w="2880"/>
          </w:tcPr>
          <w:p>
            <w:r>
              <w:t>活性窗口中位 ~362</w:t>
            </w:r>
          </w:p>
        </w:tc>
      </w:tr>
      <w:tr>
        <w:tc>
          <w:tcPr>
            <w:tcW w:type="dxa" w:w="2880"/>
          </w:tcPr>
          <w:p>
            <w:r>
              <w:t>ex8 验证(raw/raw+ha)</w:t>
            </w:r>
          </w:p>
        </w:tc>
        <w:tc>
          <w:tcPr>
            <w:tcW w:type="dxa" w:w="2880"/>
          </w:tcPr>
          <w:p>
            <w:r>
              <w:t>0.654(0.612-0.695)/0.733(0.692-0.772)</w:t>
            </w:r>
          </w:p>
        </w:tc>
        <w:tc>
          <w:tcPr>
            <w:tcW w:type="dxa" w:w="2880"/>
          </w:tcPr>
          <w:p>
            <w:r>
              <w:t>与 ex4 CI 重叠</w:t>
            </w:r>
          </w:p>
        </w:tc>
      </w:tr>
      <w:tr>
        <w:tc>
          <w:tcPr>
            <w:tcW w:type="dxa" w:w="2880"/>
          </w:tcPr>
          <w:p>
            <w:r>
              <w:t>ex4 top100 留在 ex8 top100</w:t>
            </w:r>
          </w:p>
        </w:tc>
        <w:tc>
          <w:tcPr>
            <w:tcW w:type="dxa" w:w="2880"/>
          </w:tcPr>
          <w:p>
            <w:r>
              <w:t>89/100(best)</w:t>
            </w:r>
          </w:p>
        </w:tc>
        <w:tc>
          <w:tcPr>
            <w:tcW w:type="dxa" w:w="2880"/>
          </w:tcPr>
          <w:p>
            <w:r>
              <w:t>Spearman 0.87-0.91</w:t>
            </w:r>
          </w:p>
        </w:tc>
      </w:tr>
      <w:tr>
        <w:tc>
          <w:tcPr>
            <w:tcW w:type="dxa" w:w="2880"/>
          </w:tcPr>
          <w:p>
            <w:r>
              <w:t>CHEMBL776</w:t>
            </w:r>
          </w:p>
        </w:tc>
        <w:tc>
          <w:tcPr>
            <w:tcW w:type="dxa" w:w="2880"/>
          </w:tcPr>
          <w:p>
            <w:r>
              <w:t>rank 27,659/29,865;ex8 201/201</w:t>
            </w:r>
          </w:p>
        </w:tc>
        <w:tc>
          <w:tcPr>
            <w:tcW w:type="dxa" w:w="2880"/>
          </w:tcPr>
          <w:p>
            <w:r>
              <w:t>失败案例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FtsZ 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记录/结构</w:t>
            </w:r>
          </w:p>
        </w:tc>
        <w:tc>
          <w:tcPr>
            <w:tcW w:type="dxa" w:w="2880"/>
          </w:tcPr>
          <w:p>
            <w:r>
              <w:t>204 method records → 90 unique</w:t>
            </w:r>
          </w:p>
        </w:tc>
        <w:tc>
          <w:tcPr>
            <w:tcW w:type="dxa" w:w="2880"/>
          </w:tcPr>
          <w:p>
            <w:r>
              <w:t>BP1 55 / BP2 72 化合物</w:t>
            </w:r>
          </w:p>
        </w:tc>
      </w:tr>
      <w:tr>
        <w:tc>
          <w:tcPr>
            <w:tcW w:type="dxa" w:w="2880"/>
          </w:tcPr>
          <w:p>
            <w:r>
              <w:t>ensemble</w:t>
            </w:r>
          </w:p>
        </w:tc>
        <w:tc>
          <w:tcPr>
            <w:tcW w:type="dxa" w:w="2880"/>
          </w:tcPr>
          <w:p>
            <w:r>
              <w:t>5 构象(ANM)</w:t>
            </w:r>
          </w:p>
        </w:tc>
        <w:tc>
          <w:tcPr>
            <w:tcW w:type="dxa" w:w="2880"/>
          </w:tcPr>
          <w:p>
            <w:r>
              <w:t>450/450 docks</w:t>
            </w:r>
          </w:p>
        </w:tc>
      </w:tr>
      <w:tr>
        <w:tc>
          <w:tcPr>
            <w:tcW w:type="dxa" w:w="2880"/>
          </w:tcPr>
          <w:p>
            <w:r>
              <w:t>legacy vs ensemble Spearman</w:t>
            </w:r>
          </w:p>
        </w:tc>
        <w:tc>
          <w:tcPr>
            <w:tcW w:type="dxa" w:w="2880"/>
          </w:tcPr>
          <w:p>
            <w:r>
              <w:t>BP1 ~0.53;BP2 ~0.80</w:t>
            </w:r>
          </w:p>
        </w:tc>
        <w:tc>
          <w:tcPr>
            <w:tcW w:type="dxa" w:w="2880"/>
          </w:tcPr>
          <w:p>
            <w:r>
              <w:t>enopt_style_correlations.csv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EnOpt-style,非 supervised</w:t>
            </w:r>
          </w:p>
        </w:tc>
      </w:tr>
    </w:tbl>
    <w:p/>
    <w:p>
      <w:pPr>
        <w:pStyle w:val="Heading2"/>
      </w:pPr>
      <w:r>
        <w:t>6. 参考文献(起步集,写作时用 citation-management skill 核验)</w:t>
      </w:r>
    </w:p>
    <w:p>
      <w:pPr>
        <w:ind w:left="280"/>
      </w:pPr>
      <w:r>
        <w:t>1. Bhatt NM, Wang A, Durrant JD. *Sci Rep* 2024;14:20722 (EnOpt 概念)。</w:t>
      </w:r>
    </w:p>
    <w:p>
      <w:pPr>
        <w:ind w:left="280"/>
      </w:pPr>
      <w:r>
        <w:t>2. Mysinger MM, et al. *J Med Chem* 2012;55:6582-6594 (DUD-E)。</w:t>
      </w:r>
    </w:p>
    <w:p>
      <w:pPr>
        <w:ind w:left="280"/>
      </w:pPr>
      <w:r>
        <w:t>3. Trott O, Olson AJ. *J Comput Chem* 2010;31:455-461 (AutoDock Vina)。</w:t>
      </w:r>
    </w:p>
    <w:p>
      <w:pPr>
        <w:ind w:left="280"/>
      </w:pPr>
      <w:r>
        <w:t>4. Eberhardt J, et al. *J Chem Inf Model* 2021;61:3891-3898 (Vina 1.2)。</w:t>
      </w:r>
    </w:p>
    <w:p>
      <w:pPr>
        <w:ind w:left="280"/>
      </w:pPr>
      <w:r>
        <w:t>5. Mendez D, et al. *Nucleic Acids Res* 2019;47:D930-D940 (ChEMBL)。</w:t>
      </w:r>
    </w:p>
    <w:p>
      <w:pPr>
        <w:ind w:left="280"/>
      </w:pPr>
      <w:r>
        <w:t>6. Bemis GW, Murcko MA. *J Med Chem* 1996;39:2887-2893 (scaffolds)。</w:t>
      </w:r>
    </w:p>
    <w:p>
      <w:pPr>
        <w:ind w:left="280"/>
      </w:pPr>
      <w:r>
        <w:t>7. Baell JB, Holloway GA. *J Med Chem* 2010;53:2719-2740 (PAINS)。</w:t>
      </w:r>
    </w:p>
    <w:p>
      <w:pPr>
        <w:ind w:left="280"/>
      </w:pPr>
      <w:r>
        <w:t>8. RDKit: Landrum G, rdkit.org(ECFP4/Butina/去盐)按需补 Rogers &amp; Hahn 2010。</w:t>
      </w:r>
    </w:p>
    <w:p>
      <w:pPr>
        <w:pStyle w:val="Heading2"/>
      </w:pPr>
      <w:r>
        <w:t>7. 可选:两篇拆分方案(备选,若审稿人/导师希望更聚焦)</w:t>
      </w:r>
    </w:p>
    <w:p>
      <w:pPr>
        <w:ind w:left="280" w:hanging="200"/>
      </w:pPr>
      <w:r>
        <w:t xml:space="preserve">• </w:t>
      </w:r>
      <w:r>
        <w:rPr>
          <w:b/>
        </w:rPr>
        <w:t>Paper A(β2-AR 主线)</w:t>
      </w:r>
      <w:r>
        <w:t>:上述 3.1-3.6 + Discussion,删掉 FtsZ 小节 → 更"深"。</w:t>
      </w:r>
    </w:p>
    <w:p>
      <w:pPr>
        <w:ind w:left="280" w:hanging="200"/>
      </w:pPr>
      <w:r>
        <w:t xml:space="preserve">• </w:t>
      </w:r>
      <w:r>
        <w:rPr>
          <w:b/>
        </w:rPr>
        <w:t>Paper B(工具/流程)</w:t>
      </w:r>
      <w:r>
        <w:t>:把通用框架 + 两案例写成"可复现 ensemble-screening 模板 + 诚实评估清单",更像 software/method note。</w:t>
      </w:r>
    </w:p>
    <w:p>
      <w:pPr>
        <w:ind w:left="280" w:hanging="200"/>
      </w:pPr>
      <w:r>
        <w:t xml:space="preserve">• 现状决策:答辩已完成 → </w:t>
      </w:r>
      <w:r>
        <w:rPr>
          <w:b/>
        </w:rPr>
        <w:t>已锁定单篇</w:t>
      </w:r>
      <w:r>
        <w:t>,本备选仅在 FtsZ 未来想单独投 reproducibility note 时启用。</w:t>
      </w:r>
    </w:p>
    <w:p>
      <w:pPr>
        <w:ind w:left="280" w:hanging="200"/>
      </w:pPr>
      <w:r>
        <w:t>• 决策标准(备忘):若 β2-AR 后续补了 IFP/柔性侧链实验并冲到 AUROC 0.8,可再考虑拆 Paper A。</w:t>
      </w:r>
    </w:p>
    <w:p>
      <w:pPr>
        <w:pStyle w:val="Heading2"/>
      </w:pPr>
      <w:r>
        <w:t>8. 下一步 checklist</w:t>
      </w:r>
    </w:p>
    <w:p>
      <w:pPr>
        <w:ind w:left="280" w:hanging="200"/>
      </w:pPr>
      <w:r>
        <w:t>• [ ] 定标题 + 期刊 + 作者分工(需你拍板)</w:t>
      </w:r>
    </w:p>
    <w:p>
      <w:pPr>
        <w:ind w:left="280" w:hanging="200"/>
      </w:pPr>
      <w:r>
        <w:t>• [ ] 用 Abstract DRAFT v0 起稿;Intro 起草可用本地 research-writing / nature-writing skill</w:t>
      </w:r>
    </w:p>
    <w:p>
      <w:pPr>
        <w:ind w:left="280" w:hanging="200"/>
      </w:pPr>
      <w:r>
        <w:t>• [ ] 新做 Fig 1(框架示意)+ Fig 2(β2-AR 总览),其余图先复用</w:t>
      </w:r>
    </w:p>
    <w:p>
      <w:pPr>
        <w:ind w:left="280" w:hanging="200"/>
      </w:pPr>
      <w:r>
        <w:t>• [ ] 汇总 Table 1/2/3(数据已在速查表)</w:t>
      </w:r>
    </w:p>
    <w:p>
      <w:pPr>
        <w:ind w:left="280" w:hanging="200"/>
      </w:pPr>
      <w:r>
        <w:t xml:space="preserve">• [ ] 把 outline 拆成 </w:t>
      </w:r>
      <w:r>
        <w:rPr>
          <w:rFonts w:ascii="Consolas" w:hAnsi="Consolas" w:eastAsia="Microsoft YaHei"/>
        </w:rPr>
        <w:t>paper/manuscript.md</w:t>
      </w:r>
      <w:r>
        <w:t xml:space="preserve"> 逐节填充</w:t>
      </w:r>
    </w:p>
    <w:p>
      <w:pPr>
        <w:ind w:left="280" w:hanging="200"/>
      </w:pPr>
      <w:r>
        <w:t>• [ ] 数据可用性:确认 30k 库来源文件可公开、模型 pkl 版本说明</w:t>
      </w:r>
    </w:p>
    <w:p>
      <w:pPr>
        <w:pStyle w:val="Heading2"/>
      </w:pPr>
      <w:r>
        <w:t>9. 需要你拍板的决定</w:t>
      </w:r>
    </w:p>
    <w:p>
      <w:pPr>
        <w:ind w:left="280"/>
      </w:pPr>
      <w:r>
        <w:t xml:space="preserve">1. ~~单篇还是两篇?~~ </w:t>
      </w:r>
      <w:r>
        <w:rPr>
          <w:b/>
        </w:rPr>
        <w:t>已定:单篇(2026-09-05,硕士答辩已完成)</w:t>
      </w:r>
      <w:r>
        <w:t>。</w:t>
      </w:r>
    </w:p>
    <w:p>
      <w:pPr>
        <w:ind w:left="280"/>
      </w:pPr>
      <w:r>
        <w:t xml:space="preserve">2. ~~标题选项~~ </w:t>
      </w:r>
      <w:r>
        <w:rPr>
          <w:b/>
        </w:rPr>
        <w:t>已定:新拟(2026-09-05)</w:t>
      </w:r>
      <w:r>
        <w:t xml:space="preserve">。候选见新仓库 README 与 </w:t>
      </w:r>
      <w:r>
        <w:rPr>
          <w:rFonts w:ascii="Consolas" w:hAnsi="Consolas" w:eastAsia="Microsoft YaHei"/>
        </w:rPr>
        <w:t>manuscript/00_title_abstract.md</w:t>
      </w:r>
      <w:r>
        <w:t>(默认采用推荐款,待最终选定)。</w:t>
      </w:r>
    </w:p>
    <w:p>
      <w:pPr>
        <w:ind w:left="280"/>
      </w:pPr>
      <w:r>
        <w:t xml:space="preserve">3. ~~手稿仓库放哪?~~ </w:t>
      </w:r>
      <w:r>
        <w:rPr>
          <w:b/>
        </w:rPr>
        <w:t>已定:新建独立仓库 `supervised-enopt-preprint`</w:t>
      </w:r>
      <w:r>
        <w:t>。</w:t>
      </w:r>
    </w:p>
    <w:p>
      <w:pPr>
        <w:ind w:left="280"/>
      </w:pPr>
      <w:r>
        <w:t>4. 第一作者与贡献者清单(决定"我们"的表述和致谢)。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