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8"/>
        <w:pBdr/>
        <w:spacing w:line="360" w:lineRule="auto"/>
        <w:ind/>
        <w:rPr>
          <w:b/>
        </w:rPr>
      </w:pPr>
      <w:r>
        <w:rPr>
          <w:b/>
        </w:rPr>
        <w:t xml:space="preserve">ТЕМА ВКР: "</w:t>
      </w:r>
      <w:r>
        <w:rPr>
          <w:b/>
        </w:rPr>
        <w:t xml:space="preserve">Проектирование и разработка информационной системы поддержки жизненного цикла данных</w:t>
      </w:r>
      <w:r>
        <w:rPr>
          <w:b/>
        </w:rPr>
        <w:t xml:space="preserve">"</w:t>
      </w:r>
      <w:r>
        <w:rPr>
          <w:b/>
        </w:rPr>
      </w:r>
    </w:p>
    <w:p>
      <w:pPr>
        <w:pBdr/>
        <w:spacing w:line="360" w:lineRule="auto"/>
        <w:ind w:right="0" w:firstLine="707" w:left="0"/>
        <w:jc w:val="both"/>
        <w:rPr>
          <w:rFonts w:ascii="Times New Roman" w:hAnsi="Times New Roman" w:cs="PT Astra Serif"/>
          <w:b/>
          <w:color w:val="000000"/>
          <w:sz w:val="32"/>
          <w:lang w:val="ru-RU"/>
        </w:rPr>
      </w:pPr>
      <w:r>
        <w:rPr>
          <w:rFonts w:ascii="Times New Roman" w:hAnsi="Times New Roman" w:cs="PT Astra Serif"/>
          <w:b/>
          <w:color w:val="000000"/>
          <w:sz w:val="32"/>
          <w:lang w:val="ru-RU"/>
        </w:rPr>
        <w:t xml:space="preserve">В</w:t>
      </w:r>
      <w:r>
        <w:rPr>
          <w:rFonts w:ascii="Times New Roman" w:hAnsi="Times New Roman" w:cs="PT Astra Serif"/>
          <w:b/>
          <w:color w:val="000000"/>
          <w:sz w:val="32"/>
          <w:lang w:val="ru-RU"/>
        </w:rPr>
        <w:t xml:space="preserve">В</w:t>
      </w:r>
      <w:r>
        <w:rPr>
          <w:rFonts w:ascii="Times New Roman" w:hAnsi="Times New Roman" w:cs="PT Astra Serif"/>
          <w:b/>
          <w:color w:val="000000"/>
          <w:sz w:val="32"/>
          <w:lang w:val="ru-RU"/>
        </w:rPr>
        <w:t xml:space="preserve">Е</w:t>
      </w:r>
      <w:r>
        <w:rPr>
          <w:rFonts w:ascii="Times New Roman" w:hAnsi="Times New Roman" w:cs="PT Astra Serif"/>
          <w:b/>
          <w:color w:val="000000"/>
          <w:sz w:val="32"/>
          <w:lang w:val="ru-RU"/>
        </w:rPr>
        <w:t xml:space="preserve">Д</w:t>
      </w:r>
      <w:r>
        <w:rPr>
          <w:rFonts w:ascii="Times New Roman" w:hAnsi="Times New Roman" w:cs="PT Astra Serif"/>
          <w:b/>
          <w:color w:val="000000"/>
          <w:sz w:val="32"/>
          <w:lang w:val="ru-RU"/>
        </w:rPr>
        <w:t xml:space="preserve">Е</w:t>
      </w:r>
      <w:r>
        <w:rPr>
          <w:rFonts w:ascii="Times New Roman" w:hAnsi="Times New Roman" w:cs="PT Astra Serif"/>
          <w:b/>
          <w:color w:val="000000"/>
          <w:sz w:val="32"/>
          <w:lang w:val="ru-RU"/>
        </w:rPr>
        <w:t xml:space="preserve">Н</w:t>
      </w:r>
      <w:r>
        <w:rPr>
          <w:rFonts w:ascii="Times New Roman" w:hAnsi="Times New Roman" w:cs="PT Astra Serif"/>
          <w:b/>
          <w:color w:val="000000"/>
          <w:sz w:val="32"/>
          <w:lang w:val="ru-RU"/>
        </w:rPr>
        <w:t xml:space="preserve">И</w:t>
      </w:r>
      <w:r>
        <w:rPr>
          <w:rFonts w:ascii="Times New Roman" w:hAnsi="Times New Roman" w:cs="PT Astra Serif"/>
          <w:b/>
          <w:color w:val="000000"/>
          <w:sz w:val="32"/>
          <w:lang w:val="ru-RU"/>
        </w:rPr>
        <w:t xml:space="preserve">Е</w:t>
      </w:r>
      <w:r>
        <w:rPr>
          <w:rFonts w:ascii="Times New Roman" w:hAnsi="Times New Roman" w:cs="PT Astra Serif"/>
          <w:b/>
          <w:color w:val="000000"/>
          <w:sz w:val="32"/>
          <w:lang w:val="ru-RU"/>
        </w:rPr>
      </w:r>
    </w:p>
    <w:p>
      <w:pPr>
        <w:pBdr/>
        <w:spacing w:line="360" w:lineRule="auto"/>
        <w:ind w:right="0" w:firstLine="707" w:left="0"/>
        <w:jc w:val="both"/>
        <w:rPr>
          <w:rFonts w:ascii="Times New Roman" w:hAnsi="Times New Roman" w:cs="PT Astra Serif"/>
          <w:sz w:val="28"/>
          <w:lang w:val="ru-RU"/>
        </w:rPr>
      </w:pPr>
      <w:r>
        <w:rPr>
          <w:rFonts w:ascii="Times New Roman" w:hAnsi="Times New Roman" w:cs="PT Astra Serif"/>
          <w:sz w:val="28"/>
          <w:lang w:val="ru-RU"/>
        </w:rPr>
        <w:t xml:space="preserve">Современное цифровое пространство любой отрасли деятельности характеризуется беспрецедентным ростом объёма генерируемой информации, что выдвигает концепцию управления жизненным циклом данных </w:t>
      </w:r>
      <w:r>
        <w:rPr>
          <w:rFonts w:ascii="Times New Roman" w:hAnsi="Times New Roman" w:cs="PT Astra Serif"/>
          <w:sz w:val="28"/>
          <w:lang w:val="ru-RU"/>
        </w:rPr>
        <w:t xml:space="preserve">(Data Lifecycle Management, DLM). В таких условиях проблема DLM преобразовалась из задачи администрирования узкого назначения в стратегический приоритет, определяющий экономическую эффективность и технологическую устойчивость предприятий.</w:t>
      </w:r>
      <w:r>
        <w:rPr>
          <w:rFonts w:ascii="Times New Roman" w:hAnsi="Times New Roman" w:cs="PT Astra Serif"/>
          <w:sz w:val="28"/>
          <w:lang w:val="ru-RU"/>
        </w:rPr>
      </w:r>
    </w:p>
    <w:p>
      <w:pPr>
        <w:pBdr/>
        <w:spacing w:line="360" w:lineRule="auto"/>
        <w:ind w:right="0" w:firstLine="707" w:left="0"/>
        <w:jc w:val="both"/>
        <w:rPr/>
      </w:pPr>
      <w:r>
        <w:rPr>
          <w:rFonts w:ascii="Times New Roman" w:hAnsi="Times New Roman" w:cs="PT Astra Serif"/>
          <w:sz w:val="28"/>
          <w:lang w:val="ru-RU"/>
        </w:rPr>
        <w:t xml:space="preserve">Увеличение резкого характера наблюдается преимущественно в секторе неструктурированной информации: видео-контента, информации с датчиков интернета вещей</w:t>
      </w:r>
      <w:r>
        <w:t xml:space="preserve">, </w:t>
      </w:r>
      <w:r>
        <w:t xml:space="preserve">артефактов генеративного искусственного интеллекта. Это привело к тому, что среди мирового объёма цифровых активов такие данные занимают большую его часть.</w:t>
      </w:r>
      <w:r/>
    </w:p>
    <w:p>
      <w:pPr>
        <w:pBdr/>
        <w:spacing w:line="360" w:lineRule="auto"/>
        <w:ind w:right="0" w:firstLine="707" w:left="0"/>
        <w:jc w:val="both"/>
        <w:rPr>
          <w:rFonts w:ascii="Times New Roman" w:hAnsi="Times New Roman" w:cs="PT Astra Serif"/>
          <w:sz w:val="28"/>
          <w:lang w:val="ru-RU"/>
        </w:rPr>
      </w:pPr>
      <w:r>
        <w:t xml:space="preserve">Традиционные системы хранения, опирающиеся на статические правила и ручное перемещение объектов, более не способны своевременно реагировать на динамику современных нагрузок и требования по минимизации совокупной стоимости владения. </w:t>
      </w:r>
      <w:r>
        <w:t xml:space="preserve">Т</w:t>
      </w:r>
      <w:r>
        <w:t xml:space="preserve">акой подход </w:t>
      </w:r>
      <w:r>
        <w:t xml:space="preserve">в</w:t>
      </w:r>
      <w:r>
        <w:t xml:space="preserve">с</w:t>
      </w:r>
      <w:r>
        <w:t xml:space="preserve">ё</w:t>
      </w:r>
      <w:r>
        <w:t xml:space="preserve"> </w:t>
      </w:r>
      <w:r>
        <w:t xml:space="preserve">ч</w:t>
      </w:r>
      <w:r>
        <w:t xml:space="preserve">а</w:t>
      </w:r>
      <w:r>
        <w:t xml:space="preserve">щ</w:t>
      </w:r>
      <w:r>
        <w:t xml:space="preserve">е</w:t>
      </w:r>
      <w:r>
        <w:t xml:space="preserve"> </w:t>
      </w:r>
      <w:r>
        <w:t xml:space="preserve">п</w:t>
      </w:r>
      <w:r>
        <w:t xml:space="preserve">е</w:t>
      </w:r>
      <w:r>
        <w:t xml:space="preserve">р</w:t>
      </w:r>
      <w:r>
        <w:t xml:space="preserve">е</w:t>
      </w:r>
      <w:r>
        <w:t xml:space="preserve">с</w:t>
      </w:r>
      <w:r>
        <w:t xml:space="preserve">т</w:t>
      </w:r>
      <w:r>
        <w:t xml:space="preserve">аё</w:t>
      </w:r>
      <w:r>
        <w:t xml:space="preserve">т</w:t>
      </w:r>
      <w:r>
        <w:t xml:space="preserve"> </w:t>
      </w:r>
      <w:r>
        <w:t xml:space="preserve">у</w:t>
      </w:r>
      <w:r>
        <w:t xml:space="preserve">д</w:t>
      </w:r>
      <w:r>
        <w:t xml:space="preserve">о</w:t>
      </w:r>
      <w:r>
        <w:t xml:space="preserve">в</w:t>
      </w:r>
      <w:r>
        <w:t xml:space="preserve">л</w:t>
      </w:r>
      <w:r>
        <w:t xml:space="preserve">е</w:t>
      </w:r>
      <w:r>
        <w:t xml:space="preserve">т</w:t>
      </w:r>
      <w:r>
        <w:t xml:space="preserve">в</w:t>
      </w:r>
      <w:r>
        <w:t xml:space="preserve">о</w:t>
      </w:r>
      <w:r>
        <w:t xml:space="preserve">р</w:t>
      </w:r>
      <w:r>
        <w:t xml:space="preserve">я</w:t>
      </w:r>
      <w:r>
        <w:t xml:space="preserve">т</w:t>
      </w:r>
      <w:r>
        <w:t xml:space="preserve">ь</w:t>
      </w:r>
      <w:r>
        <w:rPr>
          <w:rFonts w:ascii="Times New Roman" w:hAnsi="Times New Roman" w:cs="PT Astra Serif"/>
          <w:sz w:val="28"/>
          <w:lang w:val="ru-RU"/>
        </w:rPr>
        <w:t xml:space="preserve"> потребностям высоконагруженных систем, ориентированных на предиктивную аналитику и адаптивное распределение ресурсов.</w:t>
      </w:r>
      <w:r>
        <w:rPr>
          <w:rFonts w:ascii="Times New Roman" w:hAnsi="Times New Roman" w:cs="PT Astra Serif"/>
          <w:sz w:val="28"/>
          <w:lang w:val="ru-RU"/>
        </w:rPr>
      </w:r>
    </w:p>
    <w:p>
      <w:pPr>
        <w:pBdr/>
        <w:spacing w:line="360" w:lineRule="auto"/>
        <w:ind w:right="0" w:firstLine="707" w:left="0"/>
        <w:jc w:val="both"/>
        <w:rPr/>
      </w:pPr>
      <w:r>
        <w:t xml:space="preserve">Настоящая работа посвящена переходу от классических эвристических моделей иерархического управления хранением (Hierarchical Storage Management, HSM) к адаптивным интеллектуальным системам. Внедрение методов машинн</w:t>
      </w:r>
      <w:r>
        <w:t xml:space="preserve">ого обучения, в частности обучения с подкреплением и рекуррентных нейронных сетей, позволяет превратить пассивное хранилище в активную систему управления, способную распределять ресурсы в зависимости от прогнозируемого спроса и установленных бизнес-правил.</w:t>
      </w:r>
      <w:r/>
    </w:p>
    <w:p>
      <w:pPr>
        <w:pBdr/>
        <w:spacing w:after="0" w:line="360" w:lineRule="auto"/>
        <w:ind w:firstLine="709"/>
        <w:rPr/>
      </w:pPr>
      <w:r>
        <w:t xml:space="preserve">Объектом исследования в данной работе является процесс управления жизненным циклом нестр</w:t>
      </w:r>
      <w:r>
        <w:t xml:space="preserve">уктурированных данных в распределенных информационных системах. Предметом исследования выступают архитектурные решения и алгоритмы интеллектуальной оркестрации данных, обеспечивающие оптимизацию размещения информации на различных уровнях иерархии хранения.</w:t>
      </w:r>
      <w:r/>
    </w:p>
    <w:p>
      <w:pPr>
        <w:pBdr/>
        <w:spacing w:after="0" w:line="360" w:lineRule="auto"/>
        <w:ind w:firstLine="709"/>
        <w:rPr/>
      </w:pPr>
      <w:r>
        <w:t xml:space="preserve">Целью выпускной квалификационной работы является проектирова</w:t>
      </w:r>
      <w:r>
        <w:t xml:space="preserve">ние и разработка информационной системы, способной в автоматизированном режиме управлять перемещением данных между уровнями хранения на основе предиктивного анализа и методов машинного обучения для минимизации совокупной стоимости владения инфраструктурой.</w:t>
      </w:r>
      <w:r/>
    </w:p>
    <w:p>
      <w:pPr>
        <w:pBdr/>
        <w:spacing w:after="0" w:line="360" w:lineRule="auto"/>
        <w:ind w:firstLine="709"/>
        <w:rPr/>
      </w:pPr>
      <w:r>
        <w:t xml:space="preserve">Для достижения поставленной цели решаются следующие задачи:</w:t>
      </w:r>
      <w:r/>
    </w:p>
    <w:p>
      <w:pPr>
        <w:numPr>
          <w:ilvl w:val="0"/>
          <w:numId w:val="7"/>
        </w:numPr>
        <w:pBdr/>
        <w:spacing w:after="0" w:line="360" w:lineRule="auto"/>
        <w:ind w:firstLine="708" w:left="0"/>
        <w:rPr/>
      </w:pPr>
      <w:r>
        <w:t xml:space="preserve">анализ предметной области и существующих подходов к управлению жизненным циклом данных в высоконагруженных системах;</w:t>
      </w:r>
      <w:r/>
    </w:p>
    <w:p>
      <w:pPr>
        <w:numPr>
          <w:ilvl w:val="0"/>
          <w:numId w:val="7"/>
        </w:numPr>
        <w:pBdr/>
        <w:spacing w:after="0" w:line="360" w:lineRule="auto"/>
        <w:ind w:firstLine="708" w:left="0"/>
        <w:rPr/>
      </w:pPr>
      <w:r>
        <w:t xml:space="preserve">исследование характеристик современного оборудования СХД и актуализация экономических показателей иерархического хранения;</w:t>
      </w:r>
      <w:r/>
    </w:p>
    <w:p>
      <w:pPr>
        <w:numPr>
          <w:ilvl w:val="0"/>
          <w:numId w:val="7"/>
        </w:numPr>
        <w:pBdr/>
        <w:spacing w:after="0" w:line="360" w:lineRule="auto"/>
        <w:ind w:firstLine="708" w:left="0"/>
        <w:rPr/>
      </w:pPr>
      <w:r>
        <w:t xml:space="preserve">математическая формализация задачи оптимизации размещения данных в динамической среде;</w:t>
      </w:r>
      <w:r/>
    </w:p>
    <w:p>
      <w:pPr>
        <w:numPr>
          <w:ilvl w:val="0"/>
          <w:numId w:val="7"/>
        </w:numPr>
        <w:pBdr/>
        <w:spacing w:after="0" w:line="360" w:lineRule="auto"/>
        <w:ind w:firstLine="708" w:left="0"/>
        <w:rPr/>
      </w:pPr>
      <w:r>
        <w:t xml:space="preserve">разработка архитектуры интеллектуального оркестратора на базе микросервисного подхода;</w:t>
      </w:r>
      <w:r/>
    </w:p>
    <w:p>
      <w:pPr>
        <w:numPr>
          <w:ilvl w:val="0"/>
          <w:numId w:val="7"/>
        </w:numPr>
        <w:pBdr/>
        <w:spacing w:after="0" w:line="360" w:lineRule="auto"/>
        <w:ind w:firstLine="708" w:left="0"/>
        <w:rPr/>
      </w:pPr>
      <w:r>
        <w:t xml:space="preserve">проектирование нейросетевых моделей прогнозирования (LSTM) и принятия решений (Reinforcement Learning);</w:t>
      </w:r>
      <w:r/>
    </w:p>
    <w:p>
      <w:pPr>
        <w:numPr>
          <w:ilvl w:val="0"/>
          <w:numId w:val="7"/>
        </w:numPr>
        <w:pBdr/>
        <w:spacing w:after="0" w:line="360" w:lineRule="auto"/>
        <w:ind w:firstLine="708" w:left="0"/>
        <w:rPr/>
      </w:pPr>
      <w:r>
        <w:t xml:space="preserve">разработка макета программно-аппаратного комплекса с использованием отечественных решений (SpaceSAN, ЭЛАРобот);</w:t>
      </w:r>
      <w:r/>
    </w:p>
    <w:p>
      <w:pPr>
        <w:numPr>
          <w:ilvl w:val="0"/>
          <w:numId w:val="7"/>
        </w:numPr>
        <w:pBdr/>
        <w:spacing w:after="0" w:line="360" w:lineRule="auto"/>
        <w:ind w:firstLine="708" w:left="0"/>
        <w:rPr/>
      </w:pPr>
      <w:r>
        <w:t xml:space="preserve">проектирование пользовательских интерфейсов и API для взаимодействия модулей системы.</w:t>
      </w:r>
      <w:r/>
    </w:p>
    <w:p>
      <w:pPr>
        <w:pBdr/>
        <w:spacing w:line="360" w:lineRule="auto"/>
        <w:ind w:right="0" w:firstLine="707" w:left="0"/>
        <w:jc w:val="both"/>
        <w:rPr/>
      </w:pPr>
      <w:r>
        <w:t xml:space="preserve">В качестве целевой системы для апробации технических решений используется видеохостинг, обеспечивающий полный цикл обработки медиаконтента — от загрузки оригинала до долгосрочной архивации производных артефактов.</w:t>
      </w:r>
      <w:r>
        <w:br w:type="page" w:clear="all"/>
      </w:r>
      <w:r/>
    </w:p>
    <w:p>
      <w:pPr>
        <w:pStyle w:val="700"/>
        <w:pBdr/>
        <w:spacing w:line="360" w:lineRule="auto"/>
        <w:ind w:firstLine="708"/>
        <w:jc w:val="center"/>
        <w:rPr/>
      </w:pPr>
      <w:r>
        <w:t xml:space="preserve">1 АНАЛИЗ ПРЕДМЕТНОЙ ОБЛАСТИ</w:t>
      </w:r>
      <w:r>
        <w:t xml:space="preserve"> </w:t>
      </w:r>
      <w:r/>
    </w:p>
    <w:p>
      <w:pPr>
        <w:pBdr/>
        <w:spacing w:line="360" w:lineRule="auto"/>
        <w:ind/>
        <w:rPr/>
      </w:pPr>
      <w:r>
        <w:t xml:space="preserve">Жизненный цикл данных представляет собой сложную последовательность фаз, через которые проходит информационный объект: от момента его создания до окончательного уничтожения или долгосрочного архивирования.</w:t>
      </w:r>
      <w:r/>
    </w:p>
    <w:p>
      <w:pPr>
        <w:pBdr/>
        <w:spacing w:line="360" w:lineRule="auto"/>
        <w:ind/>
        <w:rPr/>
      </w:pPr>
      <w:r>
        <w:t xml:space="preserve">В современных распределенных системах этот процесс приобрел итерационный характер, где данные могут многократно возвращаться на стадии активной обработки для повторного обучения моделей ИИ или анализа в новом контексте.</w:t>
      </w:r>
      <w:r/>
    </w:p>
    <w:p>
      <w:pPr>
        <w:pStyle w:val="701"/>
        <w:pBdr/>
        <w:spacing w:line="360" w:lineRule="auto"/>
        <w:ind w:firstLine="708"/>
        <w:jc w:val="center"/>
        <w:rPr/>
      </w:pPr>
      <w:r>
        <w:t xml:space="preserve">1.1 Описание предметной области</w:t>
      </w:r>
      <w:r/>
    </w:p>
    <w:p>
      <w:pPr>
        <w:pBdr/>
        <w:spacing w:line="360" w:lineRule="auto"/>
        <w:ind w:right="0" w:firstLine="707" w:left="0"/>
        <w:jc w:val="both"/>
        <w:rPr/>
      </w:pPr>
      <w:r>
        <w:t xml:space="preserve">Для объяснения механизмов DLM наиболее наглядным является пример системы видеохостинга, где данные претерпевают сложные трансформации и порождают множество зависимых объектов. </w:t>
      </w:r>
      <w:r/>
    </w:p>
    <w:p>
      <w:pPr>
        <w:pStyle w:val="702"/>
        <w:pBdr/>
        <w:spacing w:line="360" w:lineRule="auto"/>
        <w:ind/>
        <w:jc w:val="center"/>
        <w:rPr/>
      </w:pPr>
      <w:r>
        <w:t xml:space="preserve">1.1.1 Характеристика видеохостинга как объекта автоматизации</w:t>
      </w:r>
      <w:r/>
    </w:p>
    <w:p>
      <w:pPr>
        <w:pBdr/>
        <w:spacing w:line="360" w:lineRule="auto"/>
        <w:ind w:right="0" w:firstLine="707" w:left="0"/>
        <w:jc w:val="both"/>
        <w:rPr/>
      </w:pPr>
      <w:r>
        <w:t xml:space="preserve">Видеохостинг представляет собой высоконагруженную информационную систему,</w:t>
      </w:r>
      <w:r>
        <w:t xml:space="preserve"> обеспечивающую полный цикл работы с медиаконтентом: от загрузки пользователем до</w:t>
      </w:r>
      <w:r>
        <w:t xml:space="preserve"> долгосрочной архивации или удаления.</w:t>
      </w:r>
      <w:r/>
    </w:p>
    <w:p>
      <w:pPr>
        <w:pBdr/>
        <w:spacing w:line="360" w:lineRule="auto"/>
        <w:ind w:right="0" w:firstLine="707" w:left="0"/>
        <w:jc w:val="both"/>
        <w:rPr/>
      </w:pPr>
      <w:r>
        <w:t xml:space="preserve">Ключевой особенностью является масштаб данных. Современные платформы</w:t>
      </w:r>
      <w:r>
        <w:t xml:space="preserve"> оперируют большими объёмами информации, где один объект </w:t>
      </w:r>
      <w:r>
        <w:t xml:space="preserve">порождает десятки зависимых артефактов:</w:t>
      </w:r>
      <w:r/>
    </w:p>
    <w:p>
      <w:pPr>
        <w:numPr>
          <w:ilvl w:val="0"/>
          <w:numId w:val="13"/>
        </w:numPr>
        <w:pBdr/>
        <w:spacing w:line="360" w:lineRule="auto"/>
        <w:ind w:firstLine="708" w:left="0"/>
        <w:jc w:val="both"/>
        <w:rPr/>
      </w:pPr>
      <w:r>
        <w:t xml:space="preserve">о</w:t>
      </w:r>
      <w:r>
        <w:t xml:space="preserve">ригиналы видео (исходные файлы в высоком разрешении</w:t>
      </w:r>
      <w:r>
        <w:t xml:space="preserve">);</w:t>
      </w:r>
      <w:r/>
    </w:p>
    <w:p>
      <w:pPr>
        <w:numPr>
          <w:ilvl w:val="0"/>
          <w:numId w:val="13"/>
        </w:numPr>
        <w:pBdr/>
        <w:spacing w:line="360" w:lineRule="auto"/>
        <w:ind w:firstLine="708" w:left="0"/>
        <w:jc w:val="both"/>
        <w:rPr/>
      </w:pPr>
      <w:r>
        <w:t xml:space="preserve">п</w:t>
      </w:r>
      <w:r>
        <w:t xml:space="preserve">роизводные копии (версии в различных разрешениях</w:t>
      </w:r>
      <w:r>
        <w:t xml:space="preserve"> и кодеках);</w:t>
      </w:r>
      <w:r/>
    </w:p>
    <w:p>
      <w:pPr>
        <w:numPr>
          <w:ilvl w:val="0"/>
          <w:numId w:val="13"/>
        </w:numPr>
        <w:pBdr/>
        <w:spacing w:line="360" w:lineRule="auto"/>
        <w:ind w:firstLine="708" w:left="0"/>
        <w:jc w:val="both"/>
        <w:rPr/>
      </w:pPr>
      <w:r>
        <w:t xml:space="preserve">и</w:t>
      </w:r>
      <w:r>
        <w:t xml:space="preserve">зображения (эскизы и превью (изображения предпросмотра));</w:t>
      </w:r>
      <w:r/>
    </w:p>
    <w:p>
      <w:pPr>
        <w:numPr>
          <w:ilvl w:val="0"/>
          <w:numId w:val="13"/>
        </w:numPr>
        <w:pBdr/>
        <w:spacing w:line="360" w:lineRule="auto"/>
        <w:ind w:firstLine="708" w:left="0"/>
        <w:jc w:val="both"/>
        <w:rPr/>
      </w:pPr>
      <w:r>
        <w:t xml:space="preserve">т</w:t>
      </w:r>
      <w:r>
        <w:t xml:space="preserve">екстовые данные (субтитры, технические метаданные, </w:t>
      </w:r>
      <w:r>
        <w:t xml:space="preserve">статистика</w:t>
      </w:r>
      <w:r>
        <w:t xml:space="preserve">, результаты ИИ-анализа</w:t>
      </w:r>
      <w:r>
        <w:t xml:space="preserve"> (категории, образы, события)).</w:t>
      </w:r>
      <w:r/>
    </w:p>
    <w:p>
      <w:pPr>
        <w:pBdr/>
        <w:spacing w:line="360" w:lineRule="auto"/>
        <w:ind w:right="0" w:left="0"/>
        <w:jc w:val="both"/>
        <w:rPr/>
      </w:pPr>
      <w:r>
        <w:t xml:space="preserve">На Рисунке 1.1 показана контекстная диаграмма</w:t>
      </w:r>
      <w:r>
        <w:t xml:space="preserve"> в нотации IDEF0</w:t>
      </w:r>
      <w:r>
        <w:t xml:space="preserve">, описывающая функционирование видеохостинга как системы. Она отражает основные потоки управления, механизмы, а также данные на входе и на выходе после их обработки с помощью специализированных алгоритмов и модулей.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105275"/>
                <wp:effectExtent l="0" t="0" r="0" b="0"/>
                <wp:docPr id="1" name="Drawing 1775685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5685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600" cy="4105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23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 w:line="360" w:lineRule="auto"/>
        <w:ind w:right="0" w:firstLine="0" w:left="0"/>
        <w:jc w:val="center"/>
        <w:rPr/>
      </w:pPr>
      <w:r>
        <w:t xml:space="preserve">Рисунок 1.1 - Контекстная диаграмма функционирования видеохостинга</w:t>
      </w:r>
      <w:r/>
    </w:p>
    <w:p>
      <w:pPr>
        <w:pStyle w:val="702"/>
        <w:pBdr/>
        <w:spacing w:line="360" w:lineRule="auto"/>
        <w:ind/>
        <w:rPr/>
      </w:pPr>
      <w:r>
        <w:t xml:space="preserve">1.1.2 Основные этапы обработки видеоданных</w:t>
      </w:r>
      <w:r/>
    </w:p>
    <w:p>
      <w:pPr>
        <w:pBdr/>
        <w:spacing w:line="360" w:lineRule="auto"/>
        <w:ind/>
        <w:rPr/>
      </w:pPr>
      <w:r>
        <w:t xml:space="preserve">Технологический процесс начинается с момента захвата (загрузки файла) и включает в себя</w:t>
      </w:r>
      <w:r>
        <w:t xml:space="preserve"> интенсивные вычислительные операции. После загрузки оригинала система запускает</w:t>
      </w:r>
      <w:r>
        <w:t xml:space="preserve"> конвейер, который структурирует данные и готовит их к выдаче.</w:t>
      </w:r>
      <w:r>
        <w:t xml:space="preserve"> Его основные этапы:</w:t>
      </w:r>
      <w:r/>
    </w:p>
    <w:p>
      <w:pPr>
        <w:pBdr/>
        <w:spacing w:line="360" w:lineRule="auto"/>
        <w:ind/>
        <w:rPr/>
      </w:pPr>
      <w:r>
        <w:t xml:space="preserve">1.​ первичная валидация </w:t>
      </w:r>
      <w:r>
        <w:rPr>
          <w:rFonts w:ascii="Times New Roman" w:hAnsi="Times New Roman" w:eastAsia="Times New Roman" w:cs="Times New Roman"/>
          <w:sz w:val="28"/>
        </w:rPr>
        <w:t xml:space="preserve">—</w:t>
      </w:r>
      <w:r>
        <w:t xml:space="preserve"> проверка целостности и соответствия форматам;</w:t>
      </w:r>
      <w:r/>
    </w:p>
    <w:p>
      <w:pPr>
        <w:pBdr/>
        <w:spacing w:line="360" w:lineRule="auto"/>
        <w:ind/>
        <w:rPr/>
      </w:pPr>
      <w:r>
        <w:t xml:space="preserve">2.​ транскодирование </w:t>
      </w:r>
      <w:r>
        <w:rPr>
          <w:rFonts w:ascii="Times New Roman" w:hAnsi="Times New Roman" w:eastAsia="Times New Roman" w:cs="Times New Roman"/>
          <w:sz w:val="28"/>
        </w:rPr>
        <w:t xml:space="preserve">—</w:t>
      </w:r>
      <w:r>
        <w:t xml:space="preserve"> создание набора копий разного формата и качества;</w:t>
      </w:r>
      <w:r/>
    </w:p>
    <w:p>
      <w:pPr>
        <w:pBdr/>
        <w:spacing w:line="360" w:lineRule="auto"/>
        <w:ind/>
        <w:rPr/>
      </w:pPr>
      <w:r>
        <w:t xml:space="preserve">3.​ генерация артефактов </w:t>
      </w:r>
      <w:r>
        <w:rPr>
          <w:rFonts w:ascii="Times New Roman" w:hAnsi="Times New Roman" w:eastAsia="Times New Roman" w:cs="Times New Roman"/>
          <w:sz w:val="28"/>
        </w:rPr>
        <w:t xml:space="preserve">—</w:t>
      </w:r>
      <w:r>
        <w:t xml:space="preserve"> извлечение кадров для превью и создание метаданных;</w:t>
      </w:r>
      <w:r/>
    </w:p>
    <w:p>
      <w:pPr>
        <w:pBdr/>
        <w:spacing w:line="360" w:lineRule="auto"/>
        <w:ind/>
        <w:rPr/>
      </w:pPr>
      <w:r>
        <w:t xml:space="preserve">4.​ индексация </w:t>
      </w:r>
      <w:r>
        <w:rPr>
          <w:rFonts w:ascii="Times New Roman" w:hAnsi="Times New Roman" w:eastAsia="Times New Roman" w:cs="Times New Roman"/>
          <w:sz w:val="28"/>
        </w:rPr>
        <w:t xml:space="preserve">—</w:t>
      </w:r>
      <w:r>
        <w:t xml:space="preserve"> размещение объектов в базе данных и подготовка к поиску.</w:t>
      </w:r>
      <w:r/>
    </w:p>
    <w:p>
      <w:pPr>
        <w:pBdr/>
        <w:spacing w:line="360" w:lineRule="auto"/>
        <w:ind/>
        <w:rPr/>
      </w:pPr>
      <w:r>
        <w:t xml:space="preserve">Процесс обработки детально представлен на диаграмме активностей (Рисунок 1.2).</w:t>
      </w:r>
      <w:r/>
    </w:p>
    <w:p>
      <w:pPr>
        <w:pBdr/>
        <w:spacing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90750" cy="7200900"/>
                <wp:effectExtent l="0" t="0" r="0" b="0"/>
                <wp:docPr id="2" name="Drawing 1773240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3240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190750" cy="7200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72.50pt;height:567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 w:line="360" w:lineRule="auto"/>
        <w:ind w:right="0" w:firstLine="0" w:left="0"/>
        <w:jc w:val="center"/>
        <w:rPr/>
      </w:pPr>
      <w:r>
        <w:t xml:space="preserve">Рисунок 1.2 </w:t>
      </w:r>
      <w:r>
        <w:t xml:space="preserve">—</w:t>
      </w:r>
      <w:r>
        <w:t xml:space="preserve"> </w:t>
      </w:r>
      <w:r>
        <w:t xml:space="preserve">Диаграмма</w:t>
      </w:r>
      <w:r>
        <w:t xml:space="preserve"> активностей процесса обработки видеоданных</w:t>
      </w:r>
      <w:r/>
    </w:p>
    <w:p>
      <w:pPr>
        <w:pStyle w:val="708"/>
        <w:pBdr/>
        <w:spacing w:line="360" w:lineRule="auto"/>
        <w:ind/>
        <w:rPr/>
      </w:pPr>
      <w:r>
        <w:t xml:space="preserve">Описанный процесс — это пример жизненного цикла данных.</w:t>
      </w:r>
      <w:r>
        <w:t xml:space="preserve"> Каждый объект проходит через фазу «сырых</w:t>
      </w:r>
      <w:r>
        <w:t xml:space="preserve">»</w:t>
      </w:r>
      <w:r>
        <w:t xml:space="preserve"> данных (недавно загруженных), «активных</w:t>
      </w:r>
      <w:r>
        <w:t xml:space="preserve">»</w:t>
      </w:r>
      <w:r>
        <w:t xml:space="preserve"> (обработанных, просматриваемых), «холодных» (архивных записей) и подлежащих утилизации.</w:t>
      </w:r>
      <w:r>
        <w:t xml:space="preserve"> Переход между этими состояниями должен быть бесшовным и обоснованным. Такие возможности может предоставить система, способная управлять жизненным циклом данных, то есть использовать концепцию DLM.</w:t>
      </w:r>
      <w:r/>
    </w:p>
    <w:p>
      <w:pPr>
        <w:pStyle w:val="701"/>
        <w:pBdr/>
        <w:spacing w:line="360" w:lineRule="auto"/>
        <w:ind/>
        <w:rPr/>
      </w:pPr>
      <w:r>
        <w:t xml:space="preserve">1.2 </w:t>
      </w:r>
      <w:r>
        <w:t xml:space="preserve">Теоретические основы жизненного цикла данных</w:t>
      </w:r>
      <w:r/>
    </w:p>
    <w:p>
      <w:pPr>
        <w:pBdr/>
        <w:spacing w:line="360" w:lineRule="auto"/>
        <w:ind w:right="0" w:firstLine="707" w:left="0"/>
        <w:jc w:val="both"/>
        <w:rPr/>
      </w:pPr>
      <w:r>
        <w:t xml:space="preserve">Data Lifecycle Management (DLM) — это комплексный подход к управлению</w:t>
      </w:r>
      <w:r>
        <w:t xml:space="preserve"> информационными активами организации с момента их создания до окончательного</w:t>
      </w:r>
      <w:r>
        <w:t xml:space="preserve"> уничтожения. Ключевая цель DLM — оптимизация баланса между стоимостью хранения и</w:t>
      </w:r>
      <w:r>
        <w:t xml:space="preserve"> ценностью данных для бизнеса, обеспечивая при этом соблюдение з</w:t>
      </w:r>
      <w:r>
        <w:t xml:space="preserve">аданных правил и требований.</w:t>
      </w:r>
      <w:r/>
    </w:p>
    <w:p>
      <w:pPr>
        <w:pStyle w:val="702"/>
        <w:pBdr/>
        <w:spacing w:line="360" w:lineRule="auto"/>
        <w:ind/>
        <w:rPr/>
      </w:pPr>
      <w:r>
        <w:t xml:space="preserve">1.2.1 Этапы жизненного цикла данных</w:t>
      </w:r>
      <w:r/>
    </w:p>
    <w:p>
      <w:pPr>
        <w:pBdr/>
        <w:spacing w:line="360" w:lineRule="auto"/>
        <w:ind w:right="0" w:firstLine="707" w:left="0"/>
        <w:jc w:val="both"/>
        <w:rPr/>
      </w:pPr>
      <w:r>
        <w:t xml:space="preserve">Традиционная модель DLM включает в себя пять основных этапов </w:t>
      </w:r>
      <w:r>
        <w:t xml:space="preserve">жизненного цикла:</w:t>
      </w:r>
      <w:r/>
    </w:p>
    <w:p>
      <w:pPr>
        <w:numPr>
          <w:ilvl w:val="0"/>
          <w:numId w:val="5"/>
        </w:numPr>
        <w:pBdr/>
        <w:spacing w:line="360" w:lineRule="auto"/>
        <w:ind w:firstLine="708" w:left="0"/>
        <w:jc w:val="both"/>
        <w:rPr/>
      </w:pPr>
      <w:r>
        <w:t xml:space="preserve">Генерация и захват, характеризующиеся созданием данных внутри системы (транзакции, записи в журналах событий) или их поступлением из внешних источников (API, формы, IoT-датчики).</w:t>
      </w:r>
      <w:r>
        <w:t xml:space="preserve"> В случае видеохостинга </w:t>
      </w:r>
      <w:r>
        <w:t xml:space="preserve">—</w:t>
      </w:r>
      <w:r>
        <w:t xml:space="preserve"> это </w:t>
      </w:r>
      <w:r>
        <w:t xml:space="preserve"> загрузка оригинала видео</w:t>
      </w:r>
      <w:r>
        <w:t xml:space="preserve">.</w:t>
      </w:r>
      <w:r/>
    </w:p>
    <w:p>
      <w:pPr>
        <w:numPr>
          <w:ilvl w:val="0"/>
          <w:numId w:val="5"/>
        </w:numPr>
        <w:pBdr/>
        <w:spacing w:line="360" w:lineRule="auto"/>
        <w:ind w:firstLine="708" w:left="0"/>
        <w:jc w:val="both"/>
        <w:rPr/>
      </w:pPr>
      <w:r>
        <w:t xml:space="preserve">Хранение и структурирование, где данные заносятся в хранилище — от реляционных баз данных до озер данных (Data Lake), а также происходит первоначальная классификация объектов.</w:t>
      </w:r>
      <w:r/>
    </w:p>
    <w:p>
      <w:pPr>
        <w:numPr>
          <w:ilvl w:val="0"/>
          <w:numId w:val="5"/>
        </w:numPr>
        <w:pBdr/>
        <w:spacing w:line="360" w:lineRule="auto"/>
        <w:ind w:firstLine="708" w:left="0"/>
        <w:jc w:val="both"/>
        <w:rPr/>
      </w:pPr>
      <w:r>
        <w:t xml:space="preserve">Использование и обогащение, включающие процессы очистки и трансформации (процесс Extract-Transform-Load, или</w:t>
      </w:r>
      <w:r>
        <w:rPr>
          <w:shd w:val="clear" w:color="auto" w:fill="auto"/>
        </w:rPr>
        <w:t xml:space="preserve"> </w:t>
      </w:r>
      <w:r>
        <w:rPr>
          <w:shd w:val="clear" w:color="auto" w:fill="auto"/>
        </w:rPr>
        <w:t xml:space="preserve">ETL</w:t>
      </w:r>
      <w:r>
        <w:t xml:space="preserve">), шифрования и сжатия. На этом этапе происходят требуемые преобразования данных для целей, в которых они используются, </w:t>
      </w:r>
      <w:r>
        <w:rPr>
          <w:rFonts w:ascii="Times New Roman" w:hAnsi="Times New Roman" w:cs="PT Astra Serif"/>
          <w:sz w:val="28"/>
        </w:rPr>
        <w:t xml:space="preserve"> при этом особое внима</w:t>
      </w:r>
      <w:r>
        <w:rPr>
          <w:rFonts w:ascii="Times New Roman" w:hAnsi="Times New Roman" w:cs="PT Astra Serif"/>
          <w:sz w:val="28"/>
        </w:rPr>
        <w:t xml:space="preserve">ние</w:t>
      </w:r>
      <w:r>
        <w:rPr>
          <w:rFonts w:ascii="Times New Roman" w:hAnsi="Times New Roman" w:cs="PT Astra Serif"/>
          <w:sz w:val="28"/>
        </w:rPr>
        <w:t xml:space="preserve"> уделяется минимизации задержек при обработке поток</w:t>
      </w:r>
      <w:r>
        <w:rPr>
          <w:rFonts w:ascii="Times New Roman" w:hAnsi="Times New Roman" w:cs="PT Astra Serif"/>
          <w:sz w:val="28"/>
        </w:rPr>
        <w:t xml:space="preserve">а</w:t>
      </w:r>
      <w:r>
        <w:rPr>
          <w:rFonts w:ascii="Times New Roman" w:hAnsi="Times New Roman" w:cs="PT Astra Serif"/>
          <w:sz w:val="28"/>
        </w:rPr>
        <w:t xml:space="preserve"> </w:t>
      </w:r>
      <w:r>
        <w:rPr>
          <w:rFonts w:ascii="Times New Roman" w:hAnsi="Times New Roman" w:cs="PT Astra Serif"/>
          <w:sz w:val="28"/>
        </w:rPr>
        <w:t xml:space="preserve">и</w:t>
      </w:r>
      <w:r>
        <w:rPr>
          <w:rFonts w:ascii="Times New Roman" w:hAnsi="Times New Roman" w:cs="PT Astra Serif"/>
          <w:sz w:val="28"/>
        </w:rPr>
        <w:t xml:space="preserve">н</w:t>
      </w:r>
      <w:r>
        <w:rPr>
          <w:rFonts w:ascii="Times New Roman" w:hAnsi="Times New Roman" w:cs="PT Astra Serif"/>
          <w:sz w:val="28"/>
        </w:rPr>
        <w:t xml:space="preserve">ф</w:t>
      </w:r>
      <w:r>
        <w:rPr>
          <w:rFonts w:ascii="Times New Roman" w:hAnsi="Times New Roman" w:cs="PT Astra Serif"/>
          <w:sz w:val="28"/>
        </w:rPr>
        <w:t xml:space="preserve">о</w:t>
      </w:r>
      <w:r>
        <w:rPr>
          <w:rFonts w:ascii="Times New Roman" w:hAnsi="Times New Roman" w:cs="PT Astra Serif"/>
          <w:sz w:val="28"/>
        </w:rPr>
        <w:t xml:space="preserve">р</w:t>
      </w:r>
      <w:r>
        <w:rPr>
          <w:rFonts w:ascii="Times New Roman" w:hAnsi="Times New Roman" w:cs="PT Astra Serif"/>
          <w:sz w:val="28"/>
        </w:rPr>
        <w:t xml:space="preserve">м</w:t>
      </w:r>
      <w:r>
        <w:rPr>
          <w:rFonts w:ascii="Times New Roman" w:hAnsi="Times New Roman" w:cs="PT Astra Serif"/>
          <w:sz w:val="28"/>
        </w:rPr>
        <w:t xml:space="preserve">а</w:t>
      </w:r>
      <w:r>
        <w:rPr>
          <w:rFonts w:ascii="Times New Roman" w:hAnsi="Times New Roman" w:cs="PT Astra Serif"/>
          <w:sz w:val="28"/>
        </w:rPr>
        <w:t xml:space="preserve">ц</w:t>
      </w:r>
      <w:r>
        <w:rPr>
          <w:rFonts w:ascii="Times New Roman" w:hAnsi="Times New Roman" w:cs="PT Astra Serif"/>
          <w:sz w:val="28"/>
        </w:rPr>
        <w:t xml:space="preserve">и</w:t>
      </w:r>
      <w:r>
        <w:rPr>
          <w:rFonts w:ascii="Times New Roman" w:hAnsi="Times New Roman" w:cs="PT Astra Serif"/>
          <w:sz w:val="28"/>
        </w:rPr>
        <w:t xml:space="preserve">и</w:t>
      </w:r>
      <w:r>
        <w:t xml:space="preserve">. В данный этап также входит и использование данных по их назначению. В рамках жизненного цикла видеофайлов </w:t>
      </w:r>
      <w:r>
        <w:rPr>
          <w:rFonts w:ascii="Times New Roman" w:hAnsi="Times New Roman" w:eastAsia="Times New Roman" w:cs="Times New Roman"/>
          <w:sz w:val="28"/>
        </w:rPr>
        <w:t xml:space="preserve">—</w:t>
      </w:r>
      <w:r>
        <w:t xml:space="preserve"> это активная фаза, включающая транскодирование и</w:t>
      </w:r>
      <w:r>
        <w:t xml:space="preserve"> извлечение производных данных (субтитров, превью).</w:t>
      </w:r>
      <w:r/>
    </w:p>
    <w:p>
      <w:pPr>
        <w:numPr>
          <w:ilvl w:val="0"/>
          <w:numId w:val="5"/>
        </w:numPr>
        <w:pBdr/>
        <w:spacing w:line="360" w:lineRule="auto"/>
        <w:ind w:firstLine="708" w:left="0"/>
        <w:jc w:val="both"/>
        <w:rPr>
          <w:rFonts w:ascii="Times New Roman" w:hAnsi="Times New Roman" w:cs="PT Astra Serif"/>
          <w:sz w:val="28"/>
        </w:rPr>
      </w:pPr>
      <w:r>
        <w:t xml:space="preserve">Архивирование и удаление, направленные на экономически эффективное удержание неактивной информации и гарантированное уничтожение данных с истекшим сроком хранения для минимизации юридических и инфраструктурных рисков.</w:t>
      </w:r>
      <w:r>
        <w:rPr>
          <w:rFonts w:ascii="Times New Roman" w:hAnsi="Times New Roman" w:cs="PT Astra Serif"/>
          <w:sz w:val="28"/>
        </w:rPr>
      </w:r>
    </w:p>
    <w:p>
      <w:pPr>
        <w:pBdr/>
        <w:spacing w:line="360" w:lineRule="auto"/>
        <w:ind w:right="0" w:firstLine="707" w:left="0"/>
        <w:jc w:val="both"/>
        <w:rPr/>
      </w:pPr>
      <w:r>
        <w:rPr>
          <w:rFonts w:ascii="Times New Roman" w:hAnsi="Times New Roman" w:cs="PT Astra Serif"/>
          <w:sz w:val="28"/>
        </w:rPr>
        <w:t xml:space="preserve">На Рисунке 1.3 </w:t>
      </w:r>
      <w:r>
        <w:t xml:space="preserve">представлена схема</w:t>
      </w:r>
      <w:r>
        <w:t xml:space="preserve"> жизненного цикла в</w:t>
      </w:r>
      <w:r>
        <w:t xml:space="preserve">идео</w:t>
      </w:r>
      <w:r>
        <w:t xml:space="preserve">данных. Каждый экземпляр данных является результатом работы определённого модуля системы и хранится в ней отдельно, при этом будучи логически связанным с другими видами.</w:t>
      </w:r>
      <w:r/>
    </w:p>
    <w:p>
      <w:pPr>
        <w:pBdr/>
        <w:spacing w:line="360" w:lineRule="auto"/>
        <w:ind w:right="0" w:firstLine="0" w:left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219325"/>
                <wp:effectExtent l="0" t="0" r="0" b="0"/>
                <wp:docPr id="3" name="Drawing 1775685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5685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600" cy="2219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174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 w:line="360" w:lineRule="auto"/>
        <w:ind w:right="0" w:firstLine="0" w:left="0"/>
        <w:jc w:val="center"/>
        <w:rPr/>
      </w:pPr>
      <w:r>
        <w:t xml:space="preserve">Рисунок 1.3 - Диаграмма жизненного цикла видеоданных в контексте DLM</w:t>
      </w:r>
      <w:r/>
    </w:p>
    <w:p>
      <w:pPr>
        <w:pBdr/>
        <w:spacing w:line="360" w:lineRule="auto"/>
        <w:ind w:right="0" w:firstLine="708" w:left="0"/>
        <w:jc w:val="both"/>
        <w:rPr>
          <w:rFonts w:ascii="Times New Roman" w:hAnsi="Times New Roman" w:cs="PT Astra Serif"/>
          <w:sz w:val="28"/>
        </w:rPr>
      </w:pPr>
      <w:r>
        <w:rPr>
          <w:rFonts w:ascii="Times New Roman" w:hAnsi="Times New Roman" w:cs="PT Astra Serif"/>
          <w:sz w:val="28"/>
        </w:rPr>
        <w:t xml:space="preserve">В процессе каждого этапа следует принимать во внимание ряд факторов</w:t>
      </w:r>
      <w:r>
        <w:rPr>
          <w:rFonts w:ascii="Times New Roman" w:hAnsi="Times New Roman" w:cs="PT Astra Serif"/>
          <w:sz w:val="28"/>
        </w:rPr>
        <w:t xml:space="preserve">: </w:t>
      </w:r>
      <w:r>
        <w:rPr>
          <w:rFonts w:ascii="Times New Roman" w:hAnsi="Times New Roman" w:cs="PT Astra Serif"/>
          <w:sz w:val="28"/>
        </w:rPr>
      </w:r>
    </w:p>
    <w:p>
      <w:pPr>
        <w:numPr>
          <w:ilvl w:val="0"/>
          <w:numId w:val="15"/>
        </w:numPr>
        <w:pBdr/>
        <w:spacing w:line="360" w:lineRule="auto"/>
        <w:ind w:firstLine="404" w:left="-44"/>
        <w:jc w:val="both"/>
        <w:rPr>
          <w:rFonts w:ascii="Times New Roman" w:hAnsi="Times New Roman" w:cs="PT Astra Serif"/>
          <w:sz w:val="28"/>
        </w:rPr>
      </w:pPr>
      <w:r>
        <w:rPr>
          <w:rFonts w:ascii="Times New Roman" w:hAnsi="Times New Roman" w:cs="PT Astra Serif"/>
          <w:sz w:val="28"/>
        </w:rPr>
        <w:t xml:space="preserve">на стадии «Генерация и захват» </w:t>
      </w:r>
      <w:r>
        <w:rPr>
          <w:rFonts w:ascii="Times New Roman" w:hAnsi="Times New Roman" w:eastAsia="Times New Roman" w:cs="Times New Roman"/>
          <w:sz w:val="28"/>
        </w:rPr>
        <w:t xml:space="preserve">может наблюдаться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cs="PT Astra Serif"/>
          <w:sz w:val="28"/>
        </w:rPr>
        <w:t xml:space="preserve">высокая вариативность источников и, как следствие, большое количество разрозненных данных различных форматов и способов их передачи;</w:t>
      </w:r>
      <w:r>
        <w:rPr>
          <w:rFonts w:ascii="Times New Roman" w:hAnsi="Times New Roman" w:cs="PT Astra Serif"/>
          <w:sz w:val="28"/>
        </w:rPr>
      </w:r>
    </w:p>
    <w:p>
      <w:pPr>
        <w:numPr>
          <w:ilvl w:val="0"/>
          <w:numId w:val="15"/>
        </w:numPr>
        <w:pBdr/>
        <w:spacing w:line="360" w:lineRule="auto"/>
        <w:ind w:firstLine="404" w:left="-44"/>
        <w:jc w:val="both"/>
        <w:rPr/>
      </w:pPr>
      <w:r>
        <w:t xml:space="preserve">в процессе «Хранение и структурирование» важен баланс между производительностью и ценой оборудования;</w:t>
      </w:r>
      <w:r/>
    </w:p>
    <w:p>
      <w:pPr>
        <w:numPr>
          <w:ilvl w:val="0"/>
          <w:numId w:val="15"/>
        </w:numPr>
        <w:pBdr/>
        <w:spacing w:line="360" w:lineRule="auto"/>
        <w:ind w:firstLine="404" w:left="-44"/>
        <w:jc w:val="both"/>
        <w:rPr/>
      </w:pPr>
      <w:r>
        <w:t xml:space="preserve">о</w:t>
      </w:r>
      <w:r>
        <w:t xml:space="preserve">бработка и анализ данных на стадии «Использование и обогащение» влекут за собой высокие накладные расходы на вычисления;</w:t>
      </w:r>
      <w:r/>
    </w:p>
    <w:p>
      <w:pPr>
        <w:numPr>
          <w:ilvl w:val="0"/>
          <w:numId w:val="15"/>
        </w:numPr>
        <w:pBdr/>
        <w:spacing w:line="360" w:lineRule="auto"/>
        <w:ind w:firstLine="404" w:left="-44"/>
        <w:jc w:val="both"/>
        <w:rPr/>
      </w:pPr>
      <w:r>
        <w:t xml:space="preserve">процесс «Архивация» предполагает процесс долгосрочного хранения данных</w:t>
      </w:r>
      <w:r>
        <w:t xml:space="preserve"> </w:t>
      </w:r>
      <w:r>
        <w:t xml:space="preserve">и должен обеспечивать минимальную стоимость хранения при сохранении целостности данных, но с возможным увеличением времени доступа к ним.</w:t>
      </w:r>
      <w:r/>
    </w:p>
    <w:p>
      <w:pPr>
        <w:numPr>
          <w:ilvl w:val="0"/>
          <w:numId w:val="15"/>
        </w:numPr>
        <w:pBdr/>
        <w:spacing w:line="360" w:lineRule="auto"/>
        <w:ind w:firstLine="404" w:left="-44"/>
        <w:jc w:val="both"/>
        <w:rPr/>
      </w:pPr>
      <w:r>
        <w:t xml:space="preserve">н</w:t>
      </w:r>
      <w:r>
        <w:t xml:space="preserve">а этапе</w:t>
      </w:r>
      <w:r>
        <w:t xml:space="preserve"> «Восстановление из архива» главным критерием является время восстановления;</w:t>
      </w:r>
      <w:r/>
    </w:p>
    <w:p>
      <w:pPr>
        <w:numPr>
          <w:ilvl w:val="0"/>
          <w:numId w:val="15"/>
        </w:numPr>
        <w:pBdr/>
        <w:spacing w:line="360" w:lineRule="auto"/>
        <w:ind w:firstLine="404" w:left="-44"/>
        <w:jc w:val="both"/>
        <w:rPr/>
      </w:pPr>
      <w:r>
        <w:t xml:space="preserve">процесс «Удаление» характеризуется необратимостью и должен быть доказуемым.</w:t>
      </w:r>
      <w:r/>
    </w:p>
    <w:p>
      <w:pPr>
        <w:pBdr/>
        <w:spacing w:line="360" w:lineRule="auto"/>
        <w:ind w:right="0" w:firstLine="707" w:left="0"/>
        <w:jc w:val="both"/>
        <w:rPr/>
      </w:pPr>
      <w:r>
        <w:rPr>
          <w:shd w:val="clear" w:color="auto" w:fill="auto"/>
        </w:rPr>
        <w:t xml:space="preserve">Жизненный цикл видео-контента также характеризуется фазовой популярностью. В фазе пика (сразу после выпуска или при резком набор</w:t>
      </w:r>
      <w:r>
        <w:rPr>
          <w:shd w:val="clear" w:color="auto" w:fill="auto"/>
        </w:rPr>
        <w:t xml:space="preserve">е посмотров) все копии должны находиться быстром доступе для минимизации буферизации. По мере снижения интереса система должна принять решение о перемещении тяжеловесных оригиналов в архив, оставляя быстродоступными только превью и версии низкого качества.</w:t>
      </w:r>
      <w:r/>
    </w:p>
    <w:p>
      <w:pPr>
        <w:pStyle w:val="701"/>
        <w:pBdr/>
        <w:spacing w:line="360" w:lineRule="auto"/>
        <w:ind/>
        <w:rPr/>
      </w:pPr>
      <w:r>
        <w:t xml:space="preserve">1.3 </w:t>
      </w:r>
      <w:r>
        <w:t xml:space="preserve">Иерархические системы хранения данных</w:t>
      </w:r>
      <w:r/>
    </w:p>
    <w:p>
      <w:pPr>
        <w:pStyle w:val="702"/>
        <w:pBdr/>
        <w:spacing w:line="360" w:lineRule="auto"/>
        <w:ind/>
        <w:rPr/>
      </w:pPr>
      <w:r>
        <w:t xml:space="preserve">1.3.1 Архитектура иерархических СХД</w:t>
      </w:r>
      <w:r/>
    </w:p>
    <w:p>
      <w:pPr>
        <w:pBdr/>
        <w:spacing w:line="360" w:lineRule="auto"/>
        <w:ind w:right="0" w:firstLine="707" w:left="0"/>
        <w:jc w:val="both"/>
        <w:rPr/>
      </w:pPr>
      <w:r>
        <w:t xml:space="preserve">Для реализации стратегий DLM на физическом уровне используются иерархические</w:t>
      </w:r>
      <w:r>
        <w:t xml:space="preserve"> системы хранения данных</w:t>
      </w:r>
      <w:r>
        <w:t xml:space="preserve"> (HSM), которые представляют собой многоуровневую арх</w:t>
      </w:r>
      <w:r>
        <w:t xml:space="preserve">итектуру, в которой данные распределяются по носителям с различными характеристиками производительности и стоимости. Классическая модель HSM включает в себя четыре уровня, различающихся по цели хранения, типу носителей, времени доступа и целевой нагрузке. </w:t>
      </w:r>
      <w:r/>
    </w:p>
    <w:p>
      <w:pPr>
        <w:pBdr/>
        <w:spacing w:line="360" w:lineRule="auto"/>
        <w:ind w:right="0" w:firstLine="707" w:left="0"/>
        <w:jc w:val="both"/>
        <w:rPr/>
      </w:pPr>
      <w:r>
        <w:t xml:space="preserve">Принципиальная схема такой архитектуры показана на Рисунке 1.4. Рассмотрим подробно каждый из этих уровней.</w:t>
      </w:r>
      <w:r/>
    </w:p>
    <w:p>
      <w:pPr>
        <w:pBdr/>
        <w:spacing w:line="360" w:lineRule="auto"/>
        <w:ind w:right="0" w:firstLine="0" w:left="0"/>
        <w:jc w:val="both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962150"/>
                <wp:effectExtent l="0" t="0" r="0" b="0"/>
                <wp:docPr id="4" name="Drawing 1773327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3327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600" cy="1962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154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 w:line="360" w:lineRule="auto"/>
        <w:ind w:right="0" w:firstLine="0" w:left="0"/>
        <w:jc w:val="center"/>
        <w:rPr/>
      </w:pPr>
      <w:r>
        <w:t xml:space="preserve">Рисунок 1.4 - Принципиальная схема четырёхуровневой архитектуры HSM</w:t>
      </w:r>
      <w:r/>
    </w:p>
    <w:p>
      <w:pPr>
        <w:pStyle w:val="702"/>
        <w:pBdr/>
        <w:spacing w:line="360" w:lineRule="auto"/>
        <w:ind/>
        <w:rPr/>
      </w:pPr>
      <w:r>
        <w:t xml:space="preserve">1.3.1.1 Горячий уровень</w:t>
      </w:r>
      <w:r/>
    </w:p>
    <w:p>
      <w:pPr>
        <w:pBdr/>
        <w:spacing w:line="360" w:lineRule="auto"/>
        <w:ind w:right="0" w:firstLine="707" w:left="0"/>
        <w:jc w:val="both"/>
        <w:rPr/>
      </w:pPr>
      <w:r>
        <w:t xml:space="preserve">Горячий уровень предназначен для обслуживания данных с максимальными требованиями к производительности</w:t>
      </w:r>
      <w:r>
        <w:t xml:space="preserve">. На этом уровне размещаются объекты, к которым осуществляется наиболее частое обращение: свежезагруженные видео в первые часы после публикации, популярный контент, а также служебные структуры — метаданные, поисковые индексы и кэши пользовательских сессий.</w:t>
      </w:r>
      <w:r/>
    </w:p>
    <w:p>
      <w:pPr>
        <w:pBdr/>
        <w:spacing w:line="360" w:lineRule="auto"/>
        <w:ind w:right="0" w:firstLine="707" w:left="0"/>
        <w:jc w:val="both"/>
        <w:rPr/>
      </w:pPr>
      <w:r>
        <w:t xml:space="preserve">Физическую основу горячего уровня составляют энергонезависимые накопители на основе флеш-памяти с интерфейсом </w:t>
      </w:r>
      <w:r>
        <w:rPr>
          <w:shd w:val="clear" w:color="auto" w:fill="ffff00"/>
        </w:rPr>
        <w:t xml:space="preserve">NVMe</w:t>
      </w:r>
      <w:r>
        <w:t xml:space="preserve">, подключаемые непосредственно к шине </w:t>
      </w:r>
      <w:r>
        <w:rPr>
          <w:shd w:val="clear" w:color="auto" w:fill="ffff00"/>
        </w:rPr>
        <w:t xml:space="preserve">PCIe</w:t>
      </w:r>
      <w:r>
        <w:t xml:space="preserve">. В ряде корпоративных решений применяются также технологии класса Persistent Memory ("постоянная" память), </w:t>
      </w:r>
      <w:r>
        <w:t xml:space="preserve">обладающие производительностью, близкой к оперативной памяти</w:t>
      </w:r>
      <w:r>
        <w:t xml:space="preserve">. </w:t>
      </w:r>
      <w:r/>
    </w:p>
    <w:p>
      <w:pPr>
        <w:pBdr/>
        <w:spacing w:line="360" w:lineRule="auto"/>
        <w:ind w:right="0" w:firstLine="707" w:left="0"/>
        <w:jc w:val="both"/>
        <w:rPr/>
      </w:pPr>
      <w:r>
        <w:t xml:space="preserve">Благодаря низким задержкам (менее 1 миллисекунды) и высокой пропускной способности (до нескольких гигабайт в секунду) этот уровень обеспечивает потоковую передачу видео в режиме реального времени без буферизации. </w:t>
      </w:r>
      <w:r/>
    </w:p>
    <w:p>
      <w:pPr>
        <w:pBdr/>
        <w:spacing w:line="360" w:lineRule="auto"/>
        <w:ind w:right="0" w:firstLine="707" w:left="0"/>
        <w:jc w:val="both"/>
        <w:rPr/>
      </w:pPr>
      <w:r>
        <w:t xml:space="preserve">Недостатком является высокая удельная стоимость хранения, что экономически ограничивает объём данных, размещаемых на горячем уровне, и требует эффективных алгоритмов отбора наиболее востребованного контента.</w:t>
      </w:r>
      <w:r/>
    </w:p>
    <w:p>
      <w:pPr>
        <w:pStyle w:val="702"/>
        <w:pBdr/>
        <w:spacing w:line="360" w:lineRule="auto"/>
        <w:ind/>
        <w:rPr/>
      </w:pPr>
      <w:r>
        <w:t xml:space="preserve">1.3.1.2 Тёплый уровень</w:t>
      </w:r>
      <w:r/>
    </w:p>
    <w:p>
      <w:pPr>
        <w:pBdr/>
        <w:spacing w:line="360" w:lineRule="auto"/>
        <w:ind w:right="0" w:firstLine="707" w:left="0"/>
        <w:jc w:val="both"/>
        <w:rPr/>
      </w:pPr>
      <w:r>
        <w:t xml:space="preserve">На тёплом уровне хранятся данные, частота обращений к которым снизилась, но которые всё ещё могут потребоваться для оперативного </w:t>
      </w:r>
      <w:r>
        <w:t xml:space="preserve">доступа с незначительными задержками. К этой категории, например, относятся видео, опубликованные несколько дней или недель назад, набирающие просмотры, но уже недостаточно популярные, а также промежуточные результаты обработки и кэши подготовленных копий.</w:t>
      </w:r>
      <w:r/>
    </w:p>
    <w:p>
      <w:pPr>
        <w:pBdr/>
        <w:spacing w:line="360" w:lineRule="auto"/>
        <w:ind w:right="0" w:firstLine="707" w:left="0"/>
        <w:jc w:val="both"/>
        <w:rPr/>
      </w:pPr>
      <w:r>
        <w:t xml:space="preserve">Технически тёплый уровень реализуется двумя классами накопителей: твердотельными </w:t>
      </w:r>
      <w:r>
        <w:rPr>
          <w:shd w:val="clear" w:color="auto" w:fill="ffff00"/>
        </w:rPr>
        <w:t xml:space="preserve">SATA SSD</w:t>
      </w:r>
      <w:r>
        <w:t xml:space="preserve"> и жёсткими дисками </w:t>
      </w:r>
      <w:r>
        <w:rPr>
          <w:shd w:val="clear" w:color="auto" w:fill="ffff00"/>
        </w:rPr>
        <w:t xml:space="preserve">SAS</w:t>
      </w:r>
      <w:r>
        <w:t xml:space="preserve"> с частотой вращения шпинделя 10–15 тысяч оборотов в минуту. Время доступа здесь измеряется десятками миллисекунд, что при организации потокового вещания компенсируется буферизацией начального фрагмента.</w:t>
      </w:r>
      <w:r/>
    </w:p>
    <w:p>
      <w:pPr>
        <w:pBdr/>
        <w:spacing w:line="360" w:lineRule="auto"/>
        <w:ind w:right="0" w:firstLine="707" w:left="0"/>
        <w:jc w:val="both"/>
        <w:rPr/>
      </w:pPr>
      <w:r>
        <w:t xml:space="preserve">Такое решение позволяет существенно снизить затраты по сравнению с горячим уровнем, сохраняя при этом приемлемую скорость реакции для большинства пользовательских сценариев.</w:t>
      </w:r>
      <w:r/>
    </w:p>
    <w:p>
      <w:pPr>
        <w:pStyle w:val="702"/>
        <w:pBdr/>
        <w:spacing w:line="360" w:lineRule="auto"/>
        <w:ind/>
        <w:rPr/>
      </w:pPr>
      <w:r>
        <w:t xml:space="preserve">1.3.1.3 Холодный уровень</w:t>
      </w:r>
      <w:r/>
    </w:p>
    <w:p>
      <w:pPr>
        <w:pBdr/>
        <w:spacing w:line="360" w:lineRule="auto"/>
        <w:ind w:right="0" w:firstLine="707" w:left="0"/>
        <w:jc w:val="both"/>
        <w:rPr/>
      </w:pPr>
      <w:r>
        <w:t xml:space="preserve">Холодный уровень обеспечивает долговременное хранение содержимого, которое утратило высокую популярность, но долж</w:t>
      </w:r>
      <w:r>
        <w:t xml:space="preserve">но оставаться доступным по запросу. Среди таких данных могут находиться видеозаписи старше нескольких месяцев, образовательные лекции, архивные выпуски новостей. Доступ к таким данным происходит эпизодически, поэтому требования к скорости значительно ниже.</w:t>
      </w:r>
      <w:r/>
    </w:p>
    <w:p>
      <w:pPr>
        <w:pBdr/>
        <w:spacing w:line="360" w:lineRule="auto"/>
        <w:ind w:right="0" w:firstLine="707" w:left="0"/>
        <w:jc w:val="both"/>
        <w:rPr/>
      </w:pPr>
      <w:r>
        <w:t xml:space="preserve">В качестве носителей на холодном уровне выступают ёмкие SATA HDD со стандартной скоростью вращения (7200 об/мин), а также ленточные накопители LTO в составе роботизированных библиотек.</w:t>
      </w:r>
      <w:r/>
    </w:p>
    <w:p>
      <w:pPr>
        <w:pBdr/>
        <w:spacing w:line="360" w:lineRule="auto"/>
        <w:ind w:right="0" w:firstLine="707" w:left="0"/>
        <w:jc w:val="both"/>
        <w:rPr/>
      </w:pPr>
      <w:r>
        <w:t xml:space="preserve">Задержки при обращении к данным могут составлять от нескольких секунд (</w:t>
      </w:r>
      <w:r>
        <w:t xml:space="preserve">при хранении на дисках) до нескольких минут (при необходимости монтирования ленты). Для снижения объёмов хранимых данных применяются алгоритмы сжатия и дедупликации (устранения дубликатов), а также регулярные проверки целостности для защиты от повреждения.</w:t>
      </w:r>
      <w:r/>
    </w:p>
    <w:p>
      <w:pPr>
        <w:pStyle w:val="702"/>
        <w:pBdr/>
        <w:spacing w:line="360" w:lineRule="auto"/>
        <w:ind/>
        <w:rPr/>
      </w:pPr>
      <w:r>
        <w:t xml:space="preserve">1.3.1.4 Уровень заморозки </w:t>
      </w:r>
      <w:r/>
    </w:p>
    <w:p>
      <w:pPr>
        <w:pBdr/>
        <w:spacing w:line="360" w:lineRule="auto"/>
        <w:ind/>
        <w:rPr/>
      </w:pPr>
      <w:r>
        <w:t xml:space="preserve">Наиболее глубокий уровень иерархии — замороженный — требуется для размещения данных, которые практически никогда не запрашиваются, но должны сохраняться в соо</w:t>
      </w:r>
      <w:r>
        <w:t xml:space="preserve">тветствии с законодательными или корпоративными требованиями. К таким данным относятся записи с камер видеонаблюдения, старые версии материалов, подлежащие длительному хранению, а также резервные копии, создаваемые для восстановления в аварийных ситуациях.</w:t>
      </w:r>
      <w:r/>
    </w:p>
    <w:p>
      <w:pPr>
        <w:pBdr/>
        <w:spacing w:line="360" w:lineRule="auto"/>
        <w:ind/>
        <w:rPr/>
      </w:pPr>
      <w:r>
        <w:t xml:space="preserve">Замороженный уровень может базироваться как на ленточных библиотеках с автоматическим роботизированным доступом, так и на  архивных оптических накопителях (</w:t>
      </w:r>
      <w:r>
        <w:t xml:space="preserve">ЭЛАРобот НСМ — пример отечественной разработки</w:t>
      </w:r>
      <w:r>
        <w:t xml:space="preserve">) или облачных архивных сервисах, например, Glacier.</w:t>
      </w:r>
      <w:r/>
    </w:p>
    <w:p>
      <w:pPr>
        <w:pBdr/>
        <w:spacing w:line="360" w:lineRule="auto"/>
        <w:ind/>
        <w:rPr/>
      </w:pPr>
      <w:r>
        <w:t xml:space="preserve">Восстановление данных из такого хранилища (процесс, называемый регидрацией, от английского </w:t>
      </w:r>
      <w:r>
        <w:t xml:space="preserve">„</w:t>
      </w:r>
      <w:r>
        <w:t xml:space="preserve">rehydration"</w:t>
      </w:r>
      <w:r>
        <w:t xml:space="preserve">) может занимать от нескольких часов до нескольких суток, что делает этот уровень непригодным для оперативной работы, но оправданным с точки зрения минимальной стоимости хранения.</w:t>
      </w:r>
      <w:r/>
    </w:p>
    <w:p>
      <w:pPr>
        <w:pStyle w:val="702"/>
        <w:pBdr/>
        <w:spacing w:line="360" w:lineRule="auto"/>
        <w:ind w:firstLine="708"/>
        <w:rPr/>
      </w:pPr>
      <w:r>
        <w:t xml:space="preserve">1.3.1.5 </w:t>
      </w:r>
      <w:r>
        <w:t xml:space="preserve">Сравнительный анализ уровней иерархического хранения</w:t>
      </w:r>
      <w:r/>
    </w:p>
    <w:p>
      <w:pPr>
        <w:pBdr/>
        <w:spacing w:line="360" w:lineRule="auto"/>
        <w:ind w:firstLine="778"/>
        <w:rPr/>
      </w:pPr>
      <w:r>
        <w:t xml:space="preserve">Рассмотренные уровни образуют непрерывный спектр оборудования от сверхбыстрого и дорогого до медленного и экономичного. </w:t>
      </w:r>
      <w:r/>
    </w:p>
    <w:p>
      <w:pPr>
        <w:pBdr/>
        <w:spacing w:line="360" w:lineRule="auto"/>
        <w:ind/>
        <w:rPr/>
      </w:pPr>
      <w:r>
        <w:t xml:space="preserve">Для обоснованного выбора политик управления жизненным циклом данных  и оценки экономической эффективности внедрения HSM,</w:t>
      </w:r>
      <w:r>
        <w:t xml:space="preserve"> в </w:t>
      </w:r>
      <w:r>
        <w:t xml:space="preserve">Таблице 1.1 приведены</w:t>
      </w:r>
      <w:r>
        <w:t xml:space="preserve"> ключевые характеристики: типовые носители, диапазоны задержек доступа, относительную стоимость хранения (цены приведены на основе средних значений в рамках российского рынка на начало 2026 года) и целевое назначение каждого уровня. Эти д</w:t>
      </w:r>
      <w:r>
        <w:t xml:space="preserve">анные наглядно демонстрируют обратную зависимость между стоимостью хранения и скоростью доступа.</w:t>
      </w:r>
      <w:r/>
    </w:p>
    <w:p>
      <w:pPr>
        <w:pBdr/>
        <w:spacing w:line="360" w:lineRule="auto"/>
        <w:ind w:firstLine="0"/>
        <w:rPr>
          <w:i/>
          <w:sz w:val="24"/>
        </w:rPr>
      </w:pPr>
      <w:r>
        <w:rPr>
          <w:i/>
          <w:sz w:val="24"/>
        </w:rPr>
        <w:t xml:space="preserve">Таблица 1.1 - Сравнение характеристик уровней HSM</w:t>
      </w:r>
      <w:r>
        <w:rPr>
          <w:i/>
          <w:sz w:val="24"/>
        </w:rPr>
      </w:r>
    </w:p>
    <w:tbl>
      <w:tblPr>
        <w:tblStyle w:val="706"/>
        <w:tblInd w:w="106" w:type="dxa"/>
        <w:tblCellMar>
          <w:left w:w="99" w:type="dxa"/>
          <w:top w:w="99" w:type="dxa"/>
          <w:right w:w="99" w:type="dxa"/>
          <w:bottom w:w="99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784"/>
        <w:gridCol w:w="1824"/>
        <w:gridCol w:w="1730"/>
        <w:gridCol w:w="1894"/>
        <w:gridCol w:w="2036"/>
      </w:tblGrid>
      <w:tr>
        <w:trPr>
          <w:trHeight w:val="845"/>
        </w:trPr>
        <w:tc>
          <w:tcPr>
            <w:tcBorders/>
            <w:textDirection w:val="lrTb"/>
            <w:noWrap w:val="false"/>
          </w:tcPr>
          <w:p>
            <w:pPr>
              <w:pBdr/>
              <w:spacing w:line="360" w:lineRule="auto"/>
              <w:ind w:firstLine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Параметр</w:t>
            </w:r>
            <w:r>
              <w:rPr>
                <w:b/>
                <w:sz w:val="24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 w:line="360" w:lineRule="auto"/>
              <w:ind w:firstLine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Горячий уровень</w:t>
            </w:r>
            <w:r>
              <w:rPr>
                <w:b/>
                <w:sz w:val="24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 w:line="360" w:lineRule="auto"/>
              <w:ind w:firstLine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Тёплый уровень</w:t>
            </w:r>
            <w:r>
              <w:rPr>
                <w:b/>
                <w:sz w:val="24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 w:line="360" w:lineRule="auto"/>
              <w:ind w:firstLine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Холодный уровень</w:t>
            </w:r>
            <w:r>
              <w:rPr>
                <w:b/>
                <w:sz w:val="24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 w:line="360" w:lineRule="auto"/>
              <w:ind w:firstLine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Замороженный уровень</w:t>
            </w:r>
            <w:r>
              <w:rPr>
                <w:b/>
                <w:sz w:val="24"/>
              </w:rPr>
            </w:r>
          </w:p>
        </w:tc>
      </w:tr>
      <w:tr>
        <w:trPr>
          <w:trHeight w:val="1605"/>
        </w:trPr>
        <w:tc>
          <w:tcPr>
            <w:tcBorders/>
            <w:textDirection w:val="lrTb"/>
            <w:noWrap w:val="false"/>
          </w:tcPr>
          <w:p>
            <w:pPr>
              <w:pBdr/>
              <w:spacing w:line="360" w:lineRule="auto"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Типовые носители</w:t>
            </w:r>
            <w:r>
              <w:rPr>
                <w:sz w:val="24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 w:line="360" w:lineRule="auto"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NVMe SSD, Persistent Memory</w:t>
            </w:r>
            <w:r>
              <w:rPr>
                <w:sz w:val="24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 w:line="360" w:lineRule="auto"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SATA SSD, SAS HDD (10–15 тыс. об/мин),</w:t>
            </w:r>
            <w:r>
              <w:rPr>
                <w:sz w:val="24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 w:line="360" w:lineRule="auto"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SATA HDD (7,2</w:t>
            </w:r>
            <w:r>
              <w:rPr>
                <w:sz w:val="24"/>
              </w:rPr>
              <w:t xml:space="preserve"> тыс. об/мин</w:t>
            </w:r>
            <w:r>
              <w:rPr>
                <w:sz w:val="24"/>
              </w:rPr>
              <w:t xml:space="preserve">), LTO-9 Tape (ленточные хранилища)</w:t>
            </w:r>
            <w:r>
              <w:rPr>
                <w:sz w:val="24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 w:line="360" w:lineRule="auto"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Ленточные библиотеки, облачные архивы, </w:t>
            </w:r>
            <w:r>
              <w:rPr>
                <w:sz w:val="24"/>
              </w:rPr>
              <w:t xml:space="preserve">ЭЛАРобот HCM</w:t>
            </w:r>
            <w:r>
              <w:rPr>
                <w:sz w:val="24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 w:line="360" w:lineRule="auto"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Задержка доступа</w:t>
            </w:r>
            <w:r>
              <w:rPr>
                <w:sz w:val="24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 w:line="360" w:lineRule="auto"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Д</w:t>
            </w:r>
            <w:r>
              <w:rPr>
                <w:sz w:val="24"/>
              </w:rPr>
              <w:t xml:space="preserve">оли миллисекунды</w:t>
            </w:r>
            <w:r>
              <w:rPr>
                <w:sz w:val="24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 w:line="360" w:lineRule="auto"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Десятки миллисекунд</w:t>
            </w:r>
            <w:r>
              <w:rPr>
                <w:sz w:val="24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 w:line="360" w:lineRule="auto"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Секунды-</w:t>
            </w:r>
            <w:r>
              <w:rPr>
                <w:sz w:val="24"/>
              </w:rPr>
            </w:r>
          </w:p>
          <w:p>
            <w:pPr>
              <w:pBdr/>
              <w:spacing w:line="360" w:lineRule="auto"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минуты</w:t>
            </w:r>
            <w:r>
              <w:rPr>
                <w:sz w:val="24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 w:line="360" w:lineRule="auto"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Часы-сутки</w:t>
            </w:r>
            <w:r>
              <w:rPr>
                <w:sz w:val="24"/>
              </w:rPr>
            </w:r>
          </w:p>
        </w:tc>
      </w:tr>
      <w:tr>
        <w:trPr>
          <w:trHeight w:val="1530"/>
        </w:trPr>
        <w:tc>
          <w:tcPr>
            <w:tcBorders/>
            <w:textDirection w:val="lrTb"/>
            <w:noWrap w:val="false"/>
          </w:tcPr>
          <w:p>
            <w:pPr>
              <w:pBdr/>
              <w:spacing w:line="360" w:lineRule="auto"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Характер данных</w:t>
            </w:r>
            <w:r>
              <w:rPr>
                <w:sz w:val="24"/>
              </w:rPr>
              <w:tab/>
            </w:r>
            <w:r>
              <w:rPr>
                <w:sz w:val="24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 w:line="360" w:lineRule="auto"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Активные, популярные видео, индексы, кэш</w:t>
            </w:r>
            <w:r>
              <w:rPr>
                <w:sz w:val="24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 w:line="360" w:lineRule="auto"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Умеренно востребован-</w:t>
            </w:r>
            <w:r>
              <w:rPr>
                <w:sz w:val="24"/>
              </w:rPr>
            </w:r>
          </w:p>
          <w:p>
            <w:pPr>
              <w:pBdr/>
              <w:spacing w:line="360" w:lineRule="auto"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н</w:t>
            </w:r>
            <w:r>
              <w:rPr>
                <w:sz w:val="24"/>
              </w:rPr>
              <w:t xml:space="preserve">ые видео</w:t>
            </w:r>
            <w:r>
              <w:rPr>
                <w:sz w:val="24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 w:line="360" w:lineRule="auto"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Редко запрашиваемые архивные видео</w:t>
            </w:r>
            <w:r>
              <w:rPr>
                <w:sz w:val="24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 w:line="360" w:lineRule="auto"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Данные длитель</w:t>
            </w:r>
            <w:r>
              <w:rPr>
                <w:sz w:val="24"/>
              </w:rPr>
              <w:t xml:space="preserve">ного хранения, резервные копии</w:t>
            </w:r>
            <w:r>
              <w:rPr>
                <w:sz w:val="24"/>
              </w:rPr>
            </w:r>
          </w:p>
        </w:tc>
      </w:tr>
      <w:tr>
        <w:trPr>
          <w:trHeight w:val="1530"/>
        </w:trPr>
        <w:tc>
          <w:tcPr>
            <w:tcBorders/>
            <w:textDirection w:val="lrTb"/>
            <w:noWrap w:val="false"/>
          </w:tcPr>
          <w:p>
            <w:pPr>
              <w:pBdr/>
              <w:spacing w:line="360" w:lineRule="auto"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Стоимость хранения, млн. руб. за 1 ПБ</w:t>
            </w:r>
            <w:r>
              <w:rPr>
                <w:sz w:val="24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 w:line="360" w:lineRule="auto"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23</w:t>
            </w:r>
            <w:r>
              <w:rPr>
                <w:sz w:val="24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 w:line="360" w:lineRule="auto"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4,7</w:t>
            </w:r>
            <w:r>
              <w:rPr>
                <w:sz w:val="24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 w:line="360" w:lineRule="auto"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0,8 (ленточные системы)</w:t>
            </w:r>
            <w:r>
              <w:rPr>
                <w:sz w:val="24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 w:line="360" w:lineRule="auto"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80 (оптическое устройство)</w:t>
            </w:r>
            <w:r>
              <w:rPr>
                <w:sz w:val="24"/>
              </w:rPr>
            </w:r>
          </w:p>
        </w:tc>
      </w:tr>
      <w:tr>
        <w:trPr>
          <w:trHeight w:val="1530"/>
        </w:trPr>
        <w:tc>
          <w:tcPr>
            <w:tcBorders/>
            <w:textDirection w:val="lrTb"/>
            <w:noWrap w:val="false"/>
          </w:tcPr>
          <w:p>
            <w:pPr>
              <w:pBdr/>
              <w:spacing w:line="360" w:lineRule="auto"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Основная цель</w:t>
            </w:r>
            <w:r>
              <w:rPr>
                <w:sz w:val="24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 w:line="360" w:lineRule="auto"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Максимальная скорость передачи данных</w:t>
            </w:r>
            <w:r>
              <w:rPr>
                <w:sz w:val="24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 w:line="360" w:lineRule="auto"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Баланс скорости и стоимости</w:t>
            </w:r>
            <w:r>
              <w:rPr>
                <w:sz w:val="24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 w:line="360" w:lineRule="auto"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Долговремен-</w:t>
            </w:r>
            <w:r>
              <w:rPr>
                <w:sz w:val="24"/>
              </w:rPr>
            </w:r>
          </w:p>
          <w:p>
            <w:pPr>
              <w:pBdr/>
              <w:spacing w:line="360" w:lineRule="auto"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ное хранение с редким доступом</w:t>
            </w:r>
            <w:r>
              <w:rPr>
                <w:sz w:val="24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 w:line="360" w:lineRule="auto"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Минимизация</w:t>
            </w:r>
            <w:r>
              <w:rPr>
                <w:sz w:val="24"/>
              </w:rPr>
            </w:r>
          </w:p>
          <w:p>
            <w:pPr>
              <w:pBdr/>
              <w:spacing w:line="360" w:lineRule="auto"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рисков потери и цены владения</w:t>
            </w:r>
            <w:r>
              <w:rPr>
                <w:sz w:val="24"/>
              </w:rPr>
            </w:r>
          </w:p>
          <w:p>
            <w:pPr>
              <w:pBdr/>
              <w:spacing w:line="360" w:lineRule="auto"/>
              <w:ind w:firstLine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</w:tbl>
    <w:p>
      <w:pPr>
        <w:pStyle w:val="708"/>
        <w:pBdr/>
        <w:spacing/>
        <w:ind/>
        <w:rPr/>
      </w:pPr>
      <w:r>
        <w:t xml:space="preserve">Анализ экономических показателей демонстрирует, что содержание данных на горячем уровне обходится практически в 5 раз дороже, чем на теплом, и на порядок дороже, чем на холодном. При э</w:t>
      </w:r>
      <w:r>
        <w:t xml:space="preserve">том специализированные решения, такие как ЭЛАРобот с оптическими дисками, имея высокую начальную стоимость (~80 млн руб. за петабайт), обеспечивают сохранность данных свыше 50 лет без деградации, что делает их незаменимыми для катастрофоустойчивых архивов.</w:t>
      </w:r>
      <w:r/>
    </w:p>
    <w:p>
      <w:pPr>
        <w:pStyle w:val="702"/>
        <w:pBdr/>
        <w:spacing w:line="360" w:lineRule="auto"/>
        <w:ind/>
        <w:rPr/>
      </w:pPr>
      <w:r>
        <w:t xml:space="preserve">1.3.2 Программно-определяемые СХД</w:t>
      </w:r>
      <w:r/>
    </w:p>
    <w:p>
      <w:pPr>
        <w:pStyle w:val="702"/>
        <w:pBdr/>
        <w:spacing w:line="360" w:lineRule="auto"/>
        <w:ind/>
        <w:rPr/>
      </w:pPr>
      <w:r>
        <w:t xml:space="preserve">1.3.2.1 Определение и концепция </w:t>
      </w:r>
      <w:r>
        <w:t xml:space="preserve">программно-определяемых СХД</w:t>
      </w:r>
      <w:r/>
    </w:p>
    <w:p>
      <w:pPr>
        <w:pBdr/>
        <w:spacing w:line="360" w:lineRule="auto"/>
        <w:ind/>
        <w:rPr/>
      </w:pPr>
      <w:r>
        <w:t xml:space="preserve">Программно-определяемая система хранилищ данных </w:t>
      </w:r>
      <w:r>
        <w:t xml:space="preserve">(Software-Defined Storage,</w:t>
      </w:r>
      <w:r>
        <w:t xml:space="preserve"> SDS) —</w:t>
      </w:r>
      <w:r>
        <w:t xml:space="preserve"> это интерфейс, который отделяет программную логику</w:t>
      </w:r>
      <w:r>
        <w:t xml:space="preserve"> от аппаратного обеспечения, что является критически важным для</w:t>
      </w:r>
      <w:r>
        <w:t xml:space="preserve"> реализации гибкого управления жизненным циклом информации.</w:t>
      </w:r>
      <w:r/>
    </w:p>
    <w:p>
      <w:pPr>
        <w:pBdr/>
        <w:spacing w:line="360" w:lineRule="auto"/>
        <w:ind/>
        <w:rPr/>
      </w:pPr>
      <w:r>
        <w:t xml:space="preserve">SDS</w:t>
      </w:r>
      <w:r>
        <w:t xml:space="preserve"> объединяют разнородные источники в</w:t>
      </w:r>
      <w:r>
        <w:t xml:space="preserve"> единый кластер, чтобы обеспечить распространение политик хранения и доступ ко всей информации из единой точки. Это</w:t>
      </w:r>
      <w:r>
        <w:t xml:space="preserve"> обеспечивает широкую масштабируемость и независимость от моделей</w:t>
      </w:r>
      <w:r>
        <w:t xml:space="preserve"> оборудования.</w:t>
      </w:r>
      <w:r/>
    </w:p>
    <w:p>
      <w:pPr>
        <w:pStyle w:val="702"/>
        <w:pBdr/>
        <w:spacing w:line="360" w:lineRule="auto"/>
        <w:ind/>
        <w:rPr/>
      </w:pPr>
      <w:r>
        <w:t xml:space="preserve">1.3.2.2 Анализ существующих решени</w:t>
      </w:r>
      <w:r>
        <w:t xml:space="preserve">й и их проблем</w:t>
      </w:r>
      <w:r/>
    </w:p>
    <w:p>
      <w:pPr>
        <w:pBdr/>
        <w:spacing w:line="360" w:lineRule="auto"/>
        <w:ind/>
        <w:rPr/>
      </w:pPr>
      <w:r>
        <w:t xml:space="preserve">Многообразие существующих SDS-решений требует их систематизации для понимания архитектурных различий и оценки применимости в контексте задач управления жизненным циклом данных. </w:t>
      </w:r>
      <w:r/>
    </w:p>
    <w:p>
      <w:pPr>
        <w:pBdr/>
        <w:spacing w:line="360" w:lineRule="auto"/>
        <w:ind/>
        <w:rPr/>
      </w:pPr>
      <w:r>
        <w:t xml:space="preserve">П</w:t>
      </w:r>
      <w:r>
        <w:t xml:space="preserve">рограммно-определяемые системы хранилищ данных</w:t>
      </w:r>
      <w:r>
        <w:t xml:space="preserve"> можно разделить на три основные категории, каждая из которых характеризуется специфической архитектурой и целевым назначением.</w:t>
      </w:r>
      <w:r/>
    </w:p>
    <w:p>
      <w:pPr>
        <w:pBdr/>
        <w:spacing w:line="360" w:lineRule="auto"/>
        <w:ind/>
        <w:rPr/>
      </w:pPr>
      <w:r>
        <w:t xml:space="preserve">Первая категория - р</w:t>
      </w:r>
      <w:r>
        <w:t xml:space="preserve">аспределенные SDS (</w:t>
      </w:r>
      <w:r>
        <w:t xml:space="preserve">Ceph, OpenIO, MinIO</w:t>
      </w:r>
      <w:r>
        <w:t xml:space="preserve">). Они обеспечивают наилучшую масштабируемость и гибкость, что делает их основной платформой для облачных и высоконагруженных сред. Они наиболее близки к идее полного абстрагирования от оборудования.</w:t>
      </w:r>
      <w:r/>
    </w:p>
    <w:p>
      <w:pPr>
        <w:pBdr/>
        <w:spacing w:line="360" w:lineRule="auto"/>
        <w:ind/>
        <w:rPr/>
      </w:pPr>
      <w:r>
        <w:t xml:space="preserve">Во вторую категорию входят </w:t>
      </w:r>
      <w:r>
        <w:t xml:space="preserve">SDS на базе традиционных СХД. </w:t>
      </w:r>
      <w:r>
        <w:t xml:space="preserve">Этот класс ориентирован на постепенную миграцию от устаревшей инфраструктуры. Основное преимущество — сохранение инвестиций в существующее оборудование и привычные модели управления.</w:t>
      </w:r>
      <w:r/>
    </w:p>
    <w:p>
      <w:pPr>
        <w:pBdr/>
        <w:spacing w:line="360" w:lineRule="auto"/>
        <w:ind/>
        <w:rPr/>
      </w:pPr>
      <w:r>
        <w:t xml:space="preserve">Гипервизорные SDS обеспечивают </w:t>
      </w:r>
      <w:r>
        <w:t xml:space="preserve">предельно простую интеграцию и управление в среде виртуализации. Управление данными через политики хранения является сильной стороной, однако эти политики остаются статичными и ориентированы на потребности виртуальных машин, а не отдельных объектов данных.</w:t>
      </w:r>
      <w:r/>
    </w:p>
    <w:p>
      <w:pPr>
        <w:pBdr/>
        <w:spacing w:line="360" w:lineRule="auto"/>
        <w:ind/>
        <w:rPr>
          <w:i/>
          <w:sz w:val="24"/>
        </w:rPr>
      </w:pPr>
      <w:r>
        <w:t xml:space="preserve">Проведём сравнительный анализ приведённых классов хранилищ данных по ключевым параметрам, важным для реализации адаптивного DLM (Таблица 1.2)</w:t>
      </w:r>
      <w:r>
        <w:t xml:space="preserve">.</w:t>
      </w:r>
      <w:r>
        <w:rPr>
          <w:i/>
          <w:sz w:val="24"/>
        </w:rPr>
      </w:r>
    </w:p>
    <w:p>
      <w:pPr>
        <w:pBdr/>
        <w:spacing w:line="360" w:lineRule="auto"/>
        <w:ind w:firstLine="0"/>
        <w:rPr>
          <w:i/>
          <w:sz w:val="24"/>
        </w:rPr>
      </w:pPr>
      <w:r>
        <w:rPr>
          <w:i/>
          <w:sz w:val="24"/>
        </w:rPr>
        <w:t xml:space="preserve">Таблица 1.2 - Сравнение характеристик S</w:t>
      </w:r>
      <w:r>
        <w:rPr>
          <w:i/>
          <w:sz w:val="24"/>
        </w:rPr>
        <w:t xml:space="preserve">DS-платформ</w:t>
      </w:r>
      <w:r>
        <w:rPr>
          <w:i/>
          <w:sz w:val="24"/>
        </w:rPr>
      </w:r>
      <w:r>
        <w:rPr>
          <w:i/>
          <w:sz w:val="24"/>
        </w:rPr>
      </w:r>
    </w:p>
    <w:tbl>
      <w:tblPr>
        <w:tblStyle w:val="706"/>
        <w:tblBorders/>
        <w:tblLayout w:type="fixed"/>
        <w:tblLook w:val="04A0" w:firstRow="1" w:lastRow="0" w:firstColumn="1" w:lastColumn="0" w:noHBand="0" w:noVBand="1"/>
      </w:tblPr>
      <w:tblGrid>
        <w:gridCol w:w="1677"/>
        <w:gridCol w:w="2861"/>
        <w:gridCol w:w="2195"/>
        <w:gridCol w:w="2233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147" w:type="dxa"/>
            </w:tcMar>
            <w:textDirection w:val="lrTb"/>
            <w:noWrap w:val="false"/>
          </w:tcPr>
          <w:p>
            <w:pPr>
              <w:pBdr/>
              <w:spacing w:after="240" w:line="360" w:lineRule="auto"/>
              <w:ind w:right="57" w:firstLine="0" w:left="113"/>
              <w:jc w:val="left"/>
              <w:rPr>
                <w:rFonts w:ascii="PT Astra Serif" w:hAnsi="PT Astra Serif" w:eastAsia="PT Astra Serif" w:cs="PT Astra Serif"/>
                <w:i w:val="0"/>
                <w:sz w:val="28"/>
              </w:rPr>
            </w:pPr>
            <w:r>
              <w:rPr>
                <w:rFonts w:ascii="PT Astra Serif" w:hAnsi="PT Astra Serif" w:eastAsia="PT Astra Serif" w:cs="PT Astra Serif"/>
                <w:b/>
                <w:i w:val="0"/>
                <w:sz w:val="24"/>
              </w:rPr>
              <w:t xml:space="preserve">Критерий</w:t>
            </w:r>
            <w:r>
              <w:rPr>
                <w:rFonts w:ascii="PT Astra Serif" w:hAnsi="PT Astra Serif" w:eastAsia="PT Astra Serif" w:cs="PT Astra Serif"/>
                <w:i w:val="0"/>
                <w:sz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147" w:type="dxa"/>
            </w:tcMar>
            <w:textDirection w:val="lrTb"/>
            <w:noWrap w:val="false"/>
          </w:tcPr>
          <w:p>
            <w:pPr>
              <w:pBdr/>
              <w:spacing w:after="240" w:line="360" w:lineRule="auto"/>
              <w:ind w:right="57" w:firstLine="0" w:left="113"/>
              <w:jc w:val="left"/>
              <w:rPr>
                <w:rFonts w:ascii="PT Astra Serif" w:hAnsi="PT Astra Serif" w:eastAsia="PT Astra Serif" w:cs="PT Astra Serif"/>
                <w:sz w:val="28"/>
              </w:rPr>
            </w:pPr>
            <w:r>
              <w:rPr>
                <w:rFonts w:ascii="PT Astra Serif" w:hAnsi="PT Astra Serif" w:eastAsia="PT Astra Serif" w:cs="PT Astra Serif"/>
                <w:b/>
                <w:i w:val="0"/>
                <w:sz w:val="24"/>
              </w:rPr>
              <w:t xml:space="preserve">Распределённые</w:t>
            </w:r>
            <w:r>
              <w:rPr>
                <w:rFonts w:ascii="PT Astra Serif" w:hAnsi="PT Astra Serif" w:eastAsia="PT Astra Serif" w:cs="PT Astra Serif"/>
                <w:sz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147" w:type="dxa"/>
            </w:tcMar>
            <w:textDirection w:val="lrTb"/>
            <w:noWrap w:val="false"/>
          </w:tcPr>
          <w:p>
            <w:pPr>
              <w:pBdr/>
              <w:spacing w:after="240" w:line="360" w:lineRule="auto"/>
              <w:ind w:right="57" w:firstLine="0" w:left="113"/>
              <w:jc w:val="left"/>
              <w:rPr>
                <w:rFonts w:ascii="PT Astra Serif" w:hAnsi="PT Astra Serif" w:eastAsia="PT Astra Serif" w:cs="PT Astra Serif"/>
                <w:sz w:val="28"/>
              </w:rPr>
            </w:pPr>
            <w:r>
              <w:rPr>
                <w:rFonts w:ascii="PT Astra Serif" w:hAnsi="PT Astra Serif" w:eastAsia="PT Astra Serif" w:cs="PT Astra Serif"/>
                <w:b/>
                <w:sz w:val="24"/>
              </w:rPr>
              <w:t xml:space="preserve">На базе традиционных СХД</w:t>
            </w:r>
            <w:r>
              <w:rPr>
                <w:rFonts w:ascii="PT Astra Serif" w:hAnsi="PT Astra Serif" w:eastAsia="PT Astra Serif" w:cs="PT Astra Serif"/>
                <w:sz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147" w:type="dxa"/>
            </w:tcMar>
            <w:textDirection w:val="lrTb"/>
            <w:noWrap w:val="false"/>
          </w:tcPr>
          <w:p>
            <w:pPr>
              <w:pBdr/>
              <w:spacing w:after="240" w:line="360" w:lineRule="auto"/>
              <w:ind w:right="57" w:firstLine="0" w:left="113"/>
              <w:jc w:val="left"/>
              <w:rPr>
                <w:rFonts w:ascii="PT Astra Serif" w:hAnsi="PT Astra Serif" w:eastAsia="PT Astra Serif" w:cs="PT Astra Serif"/>
                <w:sz w:val="28"/>
              </w:rPr>
            </w:pPr>
            <w:r>
              <w:rPr>
                <w:rFonts w:ascii="PT Astra Serif" w:hAnsi="PT Astra Serif" w:eastAsia="PT Astra Serif" w:cs="PT Astra Serif"/>
                <w:b/>
                <w:i w:val="0"/>
                <w:sz w:val="24"/>
              </w:rPr>
              <w:t xml:space="preserve">Гипервизорные</w:t>
            </w:r>
            <w:r>
              <w:rPr>
                <w:rFonts w:ascii="PT Astra Serif" w:hAnsi="PT Astra Serif" w:eastAsia="PT Astra Serif" w:cs="PT Astra Serif"/>
                <w:sz w:val="28"/>
              </w:rPr>
            </w:r>
          </w:p>
        </w:tc>
      </w:tr>
      <w:tr>
        <w:trPr/>
        <w:tc>
          <w:tcPr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147" w:type="dxa"/>
            </w:tcMar>
            <w:textDirection w:val="lrTb"/>
            <w:noWrap w:val="false"/>
          </w:tcPr>
          <w:p>
            <w:pPr>
              <w:pBdr/>
              <w:spacing w:after="240" w:line="360" w:lineRule="auto"/>
              <w:ind w:right="57" w:firstLine="0" w:left="113"/>
              <w:jc w:val="left"/>
              <w:rPr>
                <w:rFonts w:ascii="PT Astra Serif" w:hAnsi="PT Astra Serif" w:eastAsia="PT Astra Serif" w:cs="PT Astra Serif"/>
                <w:sz w:val="28"/>
              </w:rPr>
            </w:pPr>
            <w:r>
              <w:rPr>
                <w:rFonts w:ascii="PT Astra Serif" w:hAnsi="PT Astra Serif" w:eastAsia="PT Astra Serif" w:cs="PT Astra Serif"/>
                <w:b/>
                <w:i w:val="0"/>
                <w:sz w:val="24"/>
              </w:rPr>
              <w:t xml:space="preserve">Основа строения</w:t>
            </w:r>
            <w:r>
              <w:rPr>
                <w:rFonts w:ascii="PT Astra Serif" w:hAnsi="PT Astra Serif" w:eastAsia="PT Astra Serif" w:cs="PT Astra Serif"/>
                <w:sz w:val="28"/>
              </w:rPr>
            </w:r>
          </w:p>
        </w:tc>
        <w:tc>
          <w:tcPr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147" w:type="dxa"/>
            </w:tcMar>
            <w:textDirection w:val="lrTb"/>
            <w:noWrap w:val="false"/>
          </w:tcPr>
          <w:p>
            <w:pPr>
              <w:pBdr/>
              <w:spacing w:after="240" w:line="360" w:lineRule="auto"/>
              <w:ind w:right="57" w:firstLine="0" w:left="113"/>
              <w:jc w:val="left"/>
              <w:rPr>
                <w:b w:val="0"/>
                <w:i w:val="0"/>
                <w:sz w:val="28"/>
              </w:rPr>
            </w:pPr>
            <w:r>
              <w:rPr>
                <w:b w:val="0"/>
                <w:i w:val="0"/>
                <w:sz w:val="24"/>
              </w:rPr>
              <w:t xml:space="preserve">Стандартные серверы, объединённые в кластер</w:t>
            </w:r>
            <w:r>
              <w:rPr>
                <w:b w:val="0"/>
                <w:i w:val="0"/>
                <w:sz w:val="28"/>
              </w:rPr>
            </w:r>
          </w:p>
        </w:tc>
        <w:tc>
          <w:tcPr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147" w:type="dxa"/>
            </w:tcMar>
            <w:textDirection w:val="lrTb"/>
            <w:noWrap w:val="false"/>
          </w:tcPr>
          <w:p>
            <w:pPr>
              <w:pBdr/>
              <w:spacing w:after="240" w:line="360" w:lineRule="auto"/>
              <w:ind w:right="57" w:firstLine="0" w:left="113"/>
              <w:jc w:val="left"/>
              <w:rPr>
                <w:b w:val="0"/>
                <w:i w:val="0"/>
                <w:sz w:val="28"/>
              </w:rPr>
            </w:pPr>
            <w:r>
              <w:rPr>
                <w:b w:val="0"/>
                <w:i w:val="0"/>
                <w:sz w:val="24"/>
              </w:rPr>
              <w:t xml:space="preserve">Программный слой поверх имеющегося дискового массива</w:t>
            </w:r>
            <w:r>
              <w:rPr>
                <w:b w:val="0"/>
                <w:i w:val="0"/>
                <w:sz w:val="28"/>
              </w:rPr>
            </w:r>
          </w:p>
        </w:tc>
        <w:tc>
          <w:tcPr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147" w:type="dxa"/>
            </w:tcMar>
            <w:textDirection w:val="lrTb"/>
            <w:noWrap w:val="false"/>
          </w:tcPr>
          <w:p>
            <w:pPr>
              <w:pBdr/>
              <w:spacing w:after="240" w:line="360" w:lineRule="auto"/>
              <w:ind w:right="57" w:firstLine="0" w:left="113"/>
              <w:jc w:val="left"/>
              <w:rPr>
                <w:b w:val="0"/>
                <w:i w:val="0"/>
                <w:sz w:val="28"/>
              </w:rPr>
            </w:pPr>
            <w:r>
              <w:rPr>
                <w:b w:val="0"/>
                <w:i w:val="0"/>
                <w:sz w:val="24"/>
              </w:rPr>
              <w:t xml:space="preserve">Тесно связаны с гипервизором (VMware, Hyper-V)</w:t>
            </w:r>
            <w:r>
              <w:rPr>
                <w:b w:val="0"/>
                <w:i w:val="0"/>
                <w:sz w:val="28"/>
              </w:rPr>
            </w:r>
          </w:p>
        </w:tc>
      </w:tr>
      <w:tr>
        <w:trPr/>
        <w:tc>
          <w:tcPr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147" w:type="dxa"/>
            </w:tcMar>
            <w:textDirection w:val="lrTb"/>
            <w:noWrap w:val="false"/>
          </w:tcPr>
          <w:p>
            <w:pPr>
              <w:pBdr/>
              <w:spacing w:after="240" w:line="360" w:lineRule="auto"/>
              <w:ind w:right="57" w:firstLine="0" w:left="113"/>
              <w:jc w:val="left"/>
              <w:rPr>
                <w:rFonts w:ascii="PT Astra Serif" w:hAnsi="PT Astra Serif" w:eastAsia="PT Astra Serif" w:cs="PT Astra Serif"/>
                <w:sz w:val="28"/>
              </w:rPr>
            </w:pPr>
            <w:r>
              <w:rPr>
                <w:rFonts w:ascii="PT Astra Serif" w:hAnsi="PT Astra Serif" w:eastAsia="PT Astra Serif" w:cs="PT Astra Serif"/>
                <w:b/>
                <w:i w:val="0"/>
                <w:sz w:val="24"/>
              </w:rPr>
              <w:t xml:space="preserve">Управление данными</w:t>
            </w:r>
            <w:r>
              <w:rPr>
                <w:rFonts w:ascii="PT Astra Serif" w:hAnsi="PT Astra Serif" w:eastAsia="PT Astra Serif" w:cs="PT Astra Serif"/>
                <w:sz w:val="28"/>
              </w:rPr>
            </w:r>
          </w:p>
        </w:tc>
        <w:tc>
          <w:tcPr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147" w:type="dxa"/>
            </w:tcMar>
            <w:textDirection w:val="lrTb"/>
            <w:noWrap w:val="false"/>
          </w:tcPr>
          <w:p>
            <w:pPr>
              <w:pBdr/>
              <w:spacing w:after="240" w:line="360" w:lineRule="auto"/>
              <w:ind w:right="57" w:firstLine="0" w:left="113"/>
              <w:jc w:val="left"/>
              <w:rPr>
                <w:b w:val="0"/>
                <w:i w:val="0"/>
                <w:sz w:val="28"/>
              </w:rPr>
            </w:pPr>
            <w:r>
              <w:rPr>
                <w:b w:val="0"/>
                <w:i w:val="0"/>
                <w:sz w:val="24"/>
              </w:rPr>
              <w:t xml:space="preserve">Политики для всего кластера или отдельных разделов</w:t>
            </w:r>
            <w:r>
              <w:rPr>
                <w:b w:val="0"/>
                <w:i w:val="0"/>
                <w:sz w:val="28"/>
              </w:rPr>
            </w:r>
          </w:p>
        </w:tc>
        <w:tc>
          <w:tcPr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147" w:type="dxa"/>
            </w:tcMar>
            <w:textDirection w:val="lrTb"/>
            <w:noWrap w:val="false"/>
          </w:tcPr>
          <w:p>
            <w:pPr>
              <w:pBdr/>
              <w:spacing w:after="240" w:line="360" w:lineRule="auto"/>
              <w:ind w:right="57" w:firstLine="0" w:left="113"/>
              <w:jc w:val="left"/>
              <w:rPr>
                <w:b w:val="0"/>
                <w:i w:val="0"/>
                <w:sz w:val="28"/>
              </w:rPr>
            </w:pPr>
            <w:r>
              <w:rPr>
                <w:b w:val="0"/>
                <w:i w:val="0"/>
                <w:sz w:val="24"/>
              </w:rPr>
              <w:t xml:space="preserve">Управление наследуется от базового массива, часто статичное</w:t>
            </w:r>
            <w:r>
              <w:rPr>
                <w:b w:val="0"/>
                <w:i w:val="0"/>
                <w:sz w:val="28"/>
              </w:rPr>
            </w:r>
          </w:p>
        </w:tc>
        <w:tc>
          <w:tcPr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147" w:type="dxa"/>
            </w:tcMar>
            <w:textDirection w:val="lrTb"/>
            <w:noWrap w:val="false"/>
          </w:tcPr>
          <w:p>
            <w:pPr>
              <w:pBdr/>
              <w:spacing w:after="240" w:line="360" w:lineRule="auto"/>
              <w:ind w:right="57" w:firstLine="0" w:left="113"/>
              <w:jc w:val="left"/>
              <w:rPr>
                <w:b w:val="0"/>
                <w:i w:val="0"/>
                <w:sz w:val="28"/>
              </w:rPr>
            </w:pPr>
            <w:r>
              <w:rPr>
                <w:b w:val="0"/>
                <w:i w:val="0"/>
                <w:sz w:val="24"/>
              </w:rPr>
              <w:t xml:space="preserve">Управление через политики хранения виртуальных машин</w:t>
            </w:r>
            <w:r>
              <w:rPr>
                <w:b w:val="0"/>
                <w:i w:val="0"/>
                <w:sz w:val="28"/>
              </w:rPr>
            </w:r>
          </w:p>
        </w:tc>
      </w:tr>
      <w:tr>
        <w:trPr>
          <w:trHeight w:val="1542"/>
        </w:trPr>
        <w:tc>
          <w:tcPr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147" w:type="dxa"/>
            </w:tcMar>
            <w:textDirection w:val="lrTb"/>
            <w:noWrap w:val="false"/>
          </w:tcPr>
          <w:p>
            <w:pPr>
              <w:pBdr/>
              <w:spacing w:after="240" w:line="360" w:lineRule="auto"/>
              <w:ind w:right="57" w:firstLine="0" w:left="113"/>
              <w:jc w:val="left"/>
              <w:rPr>
                <w:rFonts w:ascii="PT Astra Serif" w:hAnsi="PT Astra Serif" w:eastAsia="PT Astra Serif" w:cs="PT Astra Serif"/>
                <w:sz w:val="28"/>
              </w:rPr>
            </w:pPr>
            <w:r>
              <w:rPr>
                <w:rFonts w:ascii="PT Astra Serif" w:hAnsi="PT Astra Serif" w:eastAsia="PT Astra Serif" w:cs="PT Astra Serif"/>
                <w:b/>
                <w:i w:val="0"/>
                <w:sz w:val="24"/>
              </w:rPr>
              <w:t xml:space="preserve">Поддержка разделения на уровни хранения</w:t>
            </w:r>
            <w:r>
              <w:rPr>
                <w:rFonts w:ascii="PT Astra Serif" w:hAnsi="PT Astra Serif" w:eastAsia="PT Astra Serif" w:cs="PT Astra Serif"/>
                <w:sz w:val="28"/>
              </w:rPr>
            </w:r>
          </w:p>
        </w:tc>
        <w:tc>
          <w:tcPr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147" w:type="dxa"/>
            </w:tcMar>
            <w:textDirection w:val="lrTb"/>
            <w:noWrap w:val="false"/>
          </w:tcPr>
          <w:p>
            <w:pPr>
              <w:pBdr/>
              <w:spacing w:after="240" w:line="360" w:lineRule="auto"/>
              <w:ind w:right="57" w:firstLine="0" w:left="113"/>
              <w:jc w:val="left"/>
              <w:rPr>
                <w:b w:val="0"/>
                <w:i w:val="0"/>
                <w:sz w:val="28"/>
              </w:rPr>
            </w:pPr>
            <w:r>
              <w:rPr>
                <w:b w:val="0"/>
                <w:i w:val="0"/>
                <w:sz w:val="24"/>
              </w:rPr>
              <w:t xml:space="preserve">Есть встроенная</w:t>
            </w:r>
            <w:r>
              <w:rPr>
                <w:b w:val="0"/>
                <w:i w:val="0"/>
                <w:sz w:val="28"/>
              </w:rPr>
            </w:r>
          </w:p>
        </w:tc>
        <w:tc>
          <w:tcPr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147" w:type="dxa"/>
            </w:tcMar>
            <w:textDirection w:val="lrTb"/>
            <w:noWrap w:val="false"/>
          </w:tcPr>
          <w:p>
            <w:pPr>
              <w:pBdr/>
              <w:spacing w:after="240" w:line="360" w:lineRule="auto"/>
              <w:ind w:right="57" w:firstLine="0" w:left="113"/>
              <w:jc w:val="left"/>
              <w:rPr>
                <w:b w:val="0"/>
                <w:i w:val="0"/>
                <w:sz w:val="28"/>
              </w:rPr>
            </w:pPr>
            <w:r>
              <w:rPr>
                <w:b w:val="0"/>
                <w:i w:val="0"/>
                <w:sz w:val="24"/>
              </w:rPr>
              <w:t xml:space="preserve">Зависит от возможностей массива</w:t>
            </w:r>
            <w:r>
              <w:rPr>
                <w:b w:val="0"/>
                <w:i w:val="0"/>
                <w:sz w:val="28"/>
              </w:rPr>
            </w:r>
          </w:p>
        </w:tc>
        <w:tc>
          <w:tcPr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147" w:type="dxa"/>
            </w:tcMar>
            <w:textDirection w:val="lrTb"/>
            <w:noWrap w:val="false"/>
          </w:tcPr>
          <w:p>
            <w:pPr>
              <w:pBdr/>
              <w:spacing w:after="240" w:line="360" w:lineRule="auto"/>
              <w:ind w:right="57" w:firstLine="0" w:left="113"/>
              <w:jc w:val="left"/>
              <w:rPr>
                <w:b w:val="0"/>
                <w:i w:val="0"/>
                <w:sz w:val="28"/>
              </w:rPr>
            </w:pPr>
            <w:r>
              <w:rPr>
                <w:b w:val="0"/>
                <w:i w:val="0"/>
                <w:sz w:val="24"/>
              </w:rPr>
              <w:t xml:space="preserve">Есть, ограничена</w:t>
            </w:r>
            <w:r>
              <w:rPr>
                <w:b w:val="0"/>
                <w:i w:val="0"/>
                <w:sz w:val="28"/>
              </w:rPr>
            </w:r>
          </w:p>
        </w:tc>
      </w:tr>
      <w:tr>
        <w:trPr>
          <w:trHeight w:val="1517"/>
        </w:trPr>
        <w:tc>
          <w:tcPr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147" w:type="dxa"/>
            </w:tcMar>
            <w:textDirection w:val="lrTb"/>
            <w:noWrap w:val="false"/>
          </w:tcPr>
          <w:p>
            <w:pPr>
              <w:pBdr/>
              <w:spacing w:after="240" w:line="360" w:lineRule="auto"/>
              <w:ind w:right="57" w:firstLine="0" w:left="113"/>
              <w:jc w:val="left"/>
              <w:rPr>
                <w:rFonts w:ascii="PT Astra Serif" w:hAnsi="PT Astra Serif" w:eastAsia="PT Astra Serif" w:cs="PT Astra Serif"/>
                <w:sz w:val="28"/>
              </w:rPr>
            </w:pPr>
            <w:r>
              <w:rPr>
                <w:rFonts w:ascii="PT Astra Serif" w:hAnsi="PT Astra Serif" w:eastAsia="PT Astra Serif" w:cs="PT Astra Serif"/>
                <w:b/>
                <w:i w:val="0"/>
                <w:sz w:val="24"/>
              </w:rPr>
              <w:t xml:space="preserve">Принятие</w:t>
            </w:r>
            <w:r>
              <w:rPr>
                <w:rFonts w:ascii="PT Astra Serif" w:hAnsi="PT Astra Serif" w:eastAsia="PT Astra Serif" w:cs="PT Astra Serif"/>
                <w:b/>
                <w:i w:val="0"/>
                <w:sz w:val="24"/>
              </w:rPr>
              <w:t xml:space="preserve"> решений о перемещении данных</w:t>
            </w:r>
            <w:r>
              <w:rPr>
                <w:rFonts w:ascii="PT Astra Serif" w:hAnsi="PT Astra Serif" w:eastAsia="PT Astra Serif" w:cs="PT Astra Serif"/>
                <w:sz w:val="28"/>
              </w:rPr>
            </w:r>
          </w:p>
        </w:tc>
        <w:tc>
          <w:tcPr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147" w:type="dxa"/>
            </w:tcMar>
            <w:textDirection w:val="lrTb"/>
            <w:noWrap w:val="false"/>
          </w:tcPr>
          <w:p>
            <w:pPr>
              <w:pBdr/>
              <w:spacing w:after="240" w:line="360" w:lineRule="auto"/>
              <w:ind w:right="57" w:firstLine="0" w:left="113"/>
              <w:jc w:val="left"/>
              <w:rPr>
                <w:b w:val="0"/>
                <w:i w:val="0"/>
                <w:sz w:val="28"/>
              </w:rPr>
            </w:pPr>
            <w:r>
              <w:rPr>
                <w:b w:val="0"/>
                <w:i w:val="0"/>
                <w:sz w:val="24"/>
              </w:rPr>
              <w:t xml:space="preserve">Только на основе заранее заданных администратором условий</w:t>
            </w:r>
            <w:r>
              <w:rPr>
                <w:b w:val="0"/>
                <w:i w:val="0"/>
                <w:sz w:val="28"/>
              </w:rPr>
            </w:r>
          </w:p>
        </w:tc>
        <w:tc>
          <w:tcPr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147" w:type="dxa"/>
            </w:tcMar>
            <w:textDirection w:val="lrTb"/>
            <w:noWrap w:val="false"/>
          </w:tcPr>
          <w:p>
            <w:pPr>
              <w:pBdr/>
              <w:spacing w:after="240" w:line="360" w:lineRule="auto"/>
              <w:ind w:right="57" w:firstLine="0" w:left="113"/>
              <w:jc w:val="left"/>
              <w:rPr>
                <w:b w:val="0"/>
                <w:i w:val="0"/>
                <w:sz w:val="28"/>
              </w:rPr>
            </w:pPr>
            <w:r>
              <w:rPr>
                <w:b w:val="0"/>
                <w:i w:val="0"/>
                <w:sz w:val="24"/>
              </w:rPr>
              <w:t xml:space="preserve">На основе фиксированных правил системы хранения</w:t>
            </w:r>
            <w:r>
              <w:rPr>
                <w:b w:val="0"/>
                <w:i w:val="0"/>
                <w:sz w:val="28"/>
              </w:rPr>
            </w:r>
          </w:p>
        </w:tc>
        <w:tc>
          <w:tcPr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147" w:type="dxa"/>
            </w:tcMar>
            <w:textDirection w:val="lrTb"/>
            <w:noWrap w:val="false"/>
          </w:tcPr>
          <w:p>
            <w:pPr>
              <w:pBdr/>
              <w:spacing w:after="240" w:line="360" w:lineRule="auto"/>
              <w:ind w:right="57" w:firstLine="0" w:left="113"/>
              <w:jc w:val="left"/>
              <w:rPr>
                <w:b w:val="0"/>
                <w:i w:val="0"/>
                <w:sz w:val="28"/>
              </w:rPr>
            </w:pPr>
            <w:r>
              <w:rPr>
                <w:b w:val="0"/>
                <w:i w:val="0"/>
                <w:sz w:val="24"/>
              </w:rPr>
              <w:t xml:space="preserve">На основе статических политик</w:t>
            </w:r>
            <w:r>
              <w:rPr>
                <w:b w:val="0"/>
                <w:i w:val="0"/>
                <w:sz w:val="28"/>
              </w:rPr>
            </w:r>
          </w:p>
        </w:tc>
      </w:tr>
    </w:tbl>
    <w:p>
      <w:pPr>
        <w:pBdr/>
        <w:spacing w:line="360" w:lineRule="auto"/>
        <w:ind/>
        <w:rPr/>
      </w:pPr>
      <w:r>
        <w:t xml:space="preserve">В традиционных СХД производительность ограничена пропускной способностью физических контроллеров. Гипервизорные SDS жестко привязаны к конкретной платформе управления. </w:t>
      </w:r>
      <w:r/>
    </w:p>
    <w:p>
      <w:pPr>
        <w:pBdr/>
        <w:spacing w:line="360" w:lineRule="auto"/>
        <w:ind/>
        <w:rPr/>
      </w:pPr>
      <w:r>
        <w:t xml:space="preserve">Р</w:t>
      </w:r>
      <w:r>
        <w:t xml:space="preserve">аспределенные SDS-решения являются наиболее подходящей средой для интеграции модуля интеллектуального управления. В отличие от остальных, данный класс обеспечивает чёткое разделение хранилища на уровни и </w:t>
      </w:r>
      <w:r>
        <w:t xml:space="preserve">прямой доступ к метаданным объектов, что также является необходимым условием для рассматриваемой предметной области.  Миграция между уровнями хранения доступна через стандартные интерфейсы, независимо от аппаратной конфигурации.</w:t>
      </w:r>
      <w:r/>
    </w:p>
    <w:p>
      <w:pPr>
        <w:pBdr/>
        <w:spacing w:line="360" w:lineRule="auto"/>
        <w:ind/>
        <w:rPr/>
      </w:pPr>
      <w:r>
        <w:t xml:space="preserve">Однако, системы HSM с управлением политиками иерархий хранилищ имеют фундаментальное ограничение: они не могут динамически реагировать на резкие</w:t>
      </w:r>
      <w:r>
        <w:t xml:space="preserve"> и непредсказуемые изменения востребованности данных. Это подтверждает актуальность разработки интеллектуальных надстроек, способных принимать решения о миграции данных на основе прогностических моделей, чтобы избежать ошибок, вызванных жесткими условиями.</w:t>
      </w:r>
      <w:r/>
    </w:p>
    <w:p>
      <w:pPr>
        <w:pStyle w:val="701"/>
        <w:pBdr/>
        <w:spacing w:line="360" w:lineRule="auto"/>
        <w:ind/>
        <w:rPr/>
      </w:pPr>
      <w:r>
        <w:t xml:space="preserve">1.4 Исследование применения методов ИИ в задачах DLM</w:t>
      </w:r>
      <w:r/>
    </w:p>
    <w:p>
      <w:pPr>
        <w:pBdr/>
        <w:spacing w:line="360" w:lineRule="auto"/>
        <w:ind/>
        <w:rPr/>
      </w:pPr>
      <w:r>
        <w:t xml:space="preserve">Переход к интеллектуальному управлению </w:t>
      </w:r>
      <w:r>
        <w:t xml:space="preserve">жизненным циклом данных обусловлен</w:t>
      </w:r>
      <w:r>
        <w:t xml:space="preserve"> необходимостью </w:t>
      </w:r>
      <w:r>
        <w:t xml:space="preserve">повышения эффективности использования инфраструктуры в условиях непредсказуемого </w:t>
      </w:r>
      <w:r>
        <w:t xml:space="preserve">спроса.</w:t>
      </w:r>
      <w:r/>
    </w:p>
    <w:p>
      <w:pPr>
        <w:pBdr/>
        <w:spacing w:line="360" w:lineRule="auto"/>
        <w:ind/>
        <w:rPr/>
      </w:pPr>
      <w:r>
        <w:t xml:space="preserve"> Современные системы хранения, включая программно-определяемые, опираются преимущественно на статические правила миграции, закладываемые администратором при настройке политик, что</w:t>
      </w:r>
      <w:r>
        <w:t xml:space="preserve"> оказывается неэффективным подходом для резких, непрогнозируемых колебаний популярности контента, характе</w:t>
      </w:r>
      <w:r>
        <w:t xml:space="preserve">рными для видеохостингов и других медиаплатформ. Преодоление этого ограничения требует внедрения методов, способных прогнозировать будущую востребованность данных, а также принимать оптимальные решения о их размещении в режиме, близком к реальному времени.</w:t>
      </w:r>
      <w:r/>
    </w:p>
    <w:p>
      <w:pPr>
        <w:pBdr/>
        <w:spacing w:line="360" w:lineRule="auto"/>
        <w:ind/>
        <w:rPr/>
      </w:pPr>
      <w:r>
        <w:t xml:space="preserve">Наиболее перспективным направлением представляется применение машинного обучения, которое доказало свою эффективность в задачах прогнозирования временных рядов и принятия решений в сложных, неопределённых средах.</w:t>
      </w:r>
      <w:r/>
    </w:p>
    <w:p>
      <w:pPr>
        <w:pStyle w:val="702"/>
        <w:pBdr/>
        <w:spacing w:line="360" w:lineRule="auto"/>
        <w:ind/>
        <w:rPr/>
      </w:pPr>
      <w:r>
        <w:t xml:space="preserve">1.4.1 Применение методов машинного обучения</w:t>
      </w:r>
      <w:r/>
    </w:p>
    <w:p>
      <w:pPr>
        <w:pBdr/>
        <w:spacing w:line="360" w:lineRule="auto"/>
        <w:ind/>
        <w:rPr/>
      </w:pPr>
      <w:r>
        <w:t xml:space="preserve">Для реализации динамического управления методом машинного обучения, разработанного для прогнозирования временных рядо</w:t>
      </w:r>
      <w:r>
        <w:t xml:space="preserve">в и принятия решений в сложных, неопределённых средах. Предлагаемый подход базируется на синтезе двух ключевых технологий: рекуррентных нейронных сетей для прогнозирования паттернов доступа и обучения с подкреплением для принятия решений о миграции данных.</w:t>
      </w:r>
      <w:r/>
    </w:p>
    <w:p>
      <w:pPr>
        <w:pBdr/>
        <w:spacing w:line="360" w:lineRule="auto"/>
        <w:ind/>
        <w:rPr/>
      </w:pPr>
      <w:r>
        <w:t xml:space="preserve">В отличие от статических правил, интеллектуальный оркестратор использует </w:t>
      </w:r>
      <w:r>
        <w:t xml:space="preserve">предиктивные модели для проактивной миграции данных. Он способен принимать решение о перемещении и расположении файлов </w:t>
      </w:r>
      <w:r>
        <w:t xml:space="preserve">в каждый конкретный момент времени н</w:t>
      </w:r>
      <w:r>
        <w:t xml:space="preserve">а основе анализа истории обращений, связки с другими файлами и других факторов.</w:t>
      </w:r>
      <w:r/>
    </w:p>
    <w:p>
      <w:pPr>
        <w:pStyle w:val="702"/>
        <w:pBdr/>
        <w:spacing w:line="360" w:lineRule="auto"/>
        <w:ind/>
        <w:rPr/>
      </w:pPr>
      <w:r>
        <w:t xml:space="preserve">1.4.2.1 Прогнозирование паттернов доступа с использованием LSTM-сетей</w:t>
      </w:r>
      <w:r/>
    </w:p>
    <w:p>
      <w:pPr>
        <w:pBdr/>
        <w:spacing w:line="360" w:lineRule="auto"/>
        <w:ind/>
        <w:rPr/>
      </w:pPr>
      <w:r>
        <w:t xml:space="preserve">История обращений к данным в видеохостинге является примером временного ряда. </w:t>
      </w:r>
      <w:r>
        <w:t xml:space="preserve">Каждое видео имеет свою динамику просмотров во времени, которая может содержать как краткос</w:t>
      </w:r>
      <w:r>
        <w:t xml:space="preserve">рочные колебания (суточная активность), так и долгосрочные тренды (угасание интереса). Для прогнозирования будущей востребованности видео подходят рекуррентные нейронные сети, в частности, сети с долгой краткосрочной памятью (Long Short-Term Memory, LSTM).</w:t>
      </w:r>
      <w:r/>
    </w:p>
    <w:p>
      <w:pPr>
        <w:pBdr/>
        <w:spacing w:line="360" w:lineRule="auto"/>
        <w:ind/>
        <w:rPr/>
      </w:pPr>
      <w:r>
        <w:t xml:space="preserve">На Рисунке 1.2 представлена схема процесса обучения и прогнозирования LSTM.</w:t>
      </w:r>
      <w:r/>
    </w:p>
    <w:p>
      <w:pPr>
        <w:pBdr/>
        <w:spacing w:line="360" w:lineRule="auto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028700"/>
                <wp:effectExtent l="0" t="0" r="0" b="0"/>
                <wp:docPr id="5" name="Drawing 1775685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5685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600" cy="1028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81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 w:line="360" w:lineRule="auto"/>
        <w:ind/>
        <w:jc w:val="center"/>
        <w:rPr/>
      </w:pPr>
      <w:r>
        <w:t xml:space="preserve">Рисунок 1.2 — </w:t>
      </w:r>
      <w:r>
        <w:t xml:space="preserve">Схема обучения и работы LSTM-модели прогнозирования</w:t>
      </w:r>
      <w:r/>
    </w:p>
    <w:p>
      <w:pPr>
        <w:pBdr/>
        <w:spacing w:line="360" w:lineRule="auto"/>
        <w:ind/>
        <w:rPr/>
      </w:pPr>
      <w:r>
        <w:t xml:space="preserve">Такие нейронные сети</w:t>
      </w:r>
      <w:r>
        <w:t xml:space="preserve"> эффективного обучаются на последовательных данных и способны выявлять зависимости в значительных временных интервалах. В отличие от классических рекуррентных сетей, LSTM решает проблему исчезающего гради</w:t>
      </w:r>
      <w:r>
        <w:t xml:space="preserve">ента (ослабление сигнала между слоями нейросети) благодаря ячейкам памяти, управляемым входными, выходными и забывающими элементами. Это позволяет модели запоминать важные закономерности на длительных интервалах и игнорировать нерелевантные события (шумы).</w:t>
      </w:r>
      <w:r/>
    </w:p>
    <w:p>
      <w:pPr>
        <w:pBdr/>
        <w:spacing w:line="360" w:lineRule="auto"/>
        <w:ind/>
        <w:rPr/>
      </w:pPr>
      <w:r>
        <w:t xml:space="preserve">В контексте задачи управления жизненным циклом данными для обучения LSTM-сети будут являться </w:t>
      </w:r>
      <w:r>
        <w:t xml:space="preserve">исторические записи об обращениях к видеоматериалам, состоящие из временных меток доступа, идентификаторов видео, их категории и другие признаки. В результате обработки м</w:t>
      </w:r>
      <w:r>
        <w:t xml:space="preserve">одель сформирует прогнозную оценку, которая может быть выражена в виде вероятности обращения к объекту в ближайшее время или в виде ожидаемого количества просмотров на горизонте прогнозирования. На данную оценку будет опираться система принятия решений для</w:t>
      </w:r>
      <w:r>
        <w:t xml:space="preserve"> миграции данных между уровнями хранения.</w:t>
      </w:r>
      <w:r/>
    </w:p>
    <w:p>
      <w:pPr>
        <w:pStyle w:val="702"/>
        <w:pBdr/>
        <w:spacing w:line="360" w:lineRule="auto"/>
        <w:ind/>
        <w:rPr/>
      </w:pPr>
      <w:r>
        <w:t xml:space="preserve">1.4.2.2 Обучение с подкреплением  для принятия решений о миграции</w:t>
      </w:r>
      <w:r/>
    </w:p>
    <w:p>
      <w:pPr>
        <w:pBdr/>
        <w:spacing w:line="360" w:lineRule="auto"/>
        <w:ind/>
        <w:rPr/>
      </w:pPr>
      <w:r>
        <w:t xml:space="preserve">Задача своевременной миграции данных требует</w:t>
      </w:r>
      <w:r>
        <w:t xml:space="preserve"> последовательного принятия решений в динамической среде с неопределённостью. Для её решения применим </w:t>
      </w:r>
      <w:r>
        <w:t xml:space="preserve">метод обучения с подкреплением (</w:t>
      </w:r>
      <w:r>
        <w:t xml:space="preserve">Reinforcement Learning, RL), который </w:t>
      </w:r>
      <w:r>
        <w:t xml:space="preserve">должен разработать стратегию поведения системы.</w:t>
      </w:r>
      <w:r/>
    </w:p>
    <w:p>
      <w:pPr>
        <w:pBdr/>
        <w:spacing w:line="360" w:lineRule="auto"/>
        <w:ind/>
        <w:rPr/>
      </w:pPr>
      <w:r>
        <w:t xml:space="preserve">Тогда </w:t>
      </w:r>
      <w:r>
        <w:t xml:space="preserve">управление формализуется как Марковский процесс принятия решений, определяемый кортежем компонентов: состояние, действие, вероятность перехода, функция вознаграждения и коэффициент дисконтирования (учёта будущей стоимости).</w:t>
      </w:r>
      <w:r/>
    </w:p>
    <w:p>
      <w:pPr>
        <w:pBdr/>
        <w:spacing w:line="360" w:lineRule="auto"/>
        <w:ind/>
        <w:rPr/>
      </w:pPr>
      <w:r>
        <w:t xml:space="preserve">В контексте рассматриваемой предметной области с</w:t>
      </w:r>
      <w:r>
        <w:t xml:space="preserve">остояние системы включает текущую заполненность уровней иерархии, расположение объектов в них, </w:t>
      </w:r>
      <w:r>
        <w:t xml:space="preserve">нагрузку на каналы ввода-вывода</w:t>
      </w:r>
      <w:r>
        <w:t xml:space="preserve"> и, в случае гибридной архитектуры, прогнозные оценки от LSTM-модели. Вектор состояния важен для принятия решений агентом </w:t>
      </w:r>
      <w:r>
        <w:t xml:space="preserve">—</w:t>
      </w:r>
      <w:r>
        <w:t xml:space="preserve"> </w:t>
      </w:r>
      <w:r>
        <w:t xml:space="preserve">автономной системой, которая действует на основе самостоятельного анализа без постоянного контроля человека</w:t>
      </w:r>
      <w:r>
        <w:t xml:space="preserve">. Опишем каждый компонент:</w:t>
      </w:r>
      <w:r/>
    </w:p>
    <w:p>
      <w:pPr>
        <w:numPr>
          <w:ilvl w:val="0"/>
          <w:numId w:val="4"/>
        </w:numPr>
        <w:pBdr/>
        <w:spacing w:line="360" w:lineRule="auto"/>
        <w:ind w:firstLine="708" w:left="0"/>
        <w:rPr/>
      </w:pPr>
      <w:r>
        <w:t xml:space="preserve">Действие — набор решений для объектов данных: сохранить статус, переместить вверх </w:t>
      </w:r>
      <w:r>
        <w:t xml:space="preserve">или вниз </w:t>
      </w:r>
      <w:r>
        <w:t xml:space="preserve">по иерархии или отметить, как подлежащий к удалению.</w:t>
      </w:r>
      <w:r/>
    </w:p>
    <w:p>
      <w:pPr>
        <w:numPr>
          <w:ilvl w:val="0"/>
          <w:numId w:val="4"/>
        </w:numPr>
        <w:pBdr/>
        <w:spacing w:line="360" w:lineRule="auto"/>
        <w:ind w:firstLine="708" w:left="0"/>
        <w:rPr/>
      </w:pPr>
      <w:r>
        <w:t xml:space="preserve">Вероятность перехода описывает, как система меняет своё состояние со временем. В случае видеохостинга это связано с непредсказуемым поведением пользователей.</w:t>
      </w:r>
      <w:r/>
    </w:p>
    <w:p>
      <w:pPr>
        <w:numPr>
          <w:ilvl w:val="0"/>
          <w:numId w:val="4"/>
        </w:numPr>
        <w:pBdr/>
        <w:spacing w:line="360" w:lineRule="auto"/>
        <w:ind w:firstLine="708" w:left="0"/>
        <w:rPr/>
      </w:pPr>
      <w:r>
        <w:t xml:space="preserve">Функция вознаграждения задаёт цель обучения. Она балансирует минимизацию затрат на хранение и обеспечение качества обслуживания. Поощрение агента производится в случае</w:t>
      </w:r>
      <w:r>
        <w:t xml:space="preserve"> успешного прогнозирования спроса и перемещение данных, а "наказание" (снижение показателя) — за задержки при внезапном росте запросов или за нарушение времени доступа.</w:t>
      </w:r>
      <w:r/>
    </w:p>
    <w:p>
      <w:pPr>
        <w:numPr>
          <w:ilvl w:val="0"/>
          <w:numId w:val="4"/>
        </w:numPr>
        <w:pBdr/>
        <w:spacing w:line="360" w:lineRule="auto"/>
        <w:ind w:firstLine="708" w:left="0"/>
        <w:rPr/>
      </w:pPr>
      <w:r>
        <w:t xml:space="preserve">Коэффициент дисконтирования важен для долгосрочного планирования. Его значение должно стремиться к единице, чтобы система учитывала долгосрочные последствия, а не текущую выгоду.</w:t>
      </w:r>
      <w:r/>
    </w:p>
    <w:p>
      <w:pPr>
        <w:numPr>
          <w:ilvl w:val="0"/>
          <w:numId w:val="4"/>
        </w:numPr>
        <w:pBdr/>
        <w:spacing w:line="360" w:lineRule="auto"/>
        <w:ind w:firstLine="708" w:left="0"/>
        <w:rPr/>
      </w:pPr>
      <w:r>
        <w:t xml:space="preserve">Модуль принятия решений,</w:t>
      </w:r>
      <w:r>
        <w:t xml:space="preserve"> взаимодействуя с системой хранения, в </w:t>
      </w:r>
      <w:r>
        <w:t xml:space="preserve">процессе обучения должен стремиться максимизировать суммарное дисконтированное вознаграждение. Таким образом он самостоятельно находит оптимальную стратегию управления, которая может быть значительно сложнее и эффективнее заранее заданных человеком правил.</w:t>
      </w:r>
      <w:r/>
    </w:p>
    <w:p>
      <w:pPr>
        <w:pBdr/>
        <w:spacing w:line="360" w:lineRule="auto"/>
        <w:ind w:right="0" w:left="0"/>
        <w:rPr/>
      </w:pPr>
      <w:r>
        <w:t xml:space="preserve">На Рисунке 1.3 представлена схема обучения такого RL-агента.</w:t>
      </w:r>
      <w:r/>
    </w:p>
    <w:p>
      <w:pPr>
        <w:pBdr/>
        <w:spacing w:line="360" w:lineRule="auto"/>
        <w:ind w:right="0" w:firstLine="0" w:left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495800"/>
                <wp:effectExtent l="0" t="0" r="0" b="0"/>
                <wp:docPr id="6" name="Drawing 1775685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5685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600" cy="449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354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 w:line="360" w:lineRule="auto"/>
        <w:ind w:right="0" w:firstLine="0" w:left="0"/>
        <w:jc w:val="center"/>
        <w:rPr/>
      </w:pPr>
      <w:r>
        <w:t xml:space="preserve">Рисунок 1.3 —</w:t>
      </w:r>
      <w:r>
        <w:t xml:space="preserve">Схема обучения RL-агента в среде управления ЖЦ данных</w:t>
      </w:r>
      <w:r/>
    </w:p>
    <w:p>
      <w:pPr>
        <w:pStyle w:val="702"/>
        <w:pBdr/>
        <w:spacing w:line="360" w:lineRule="auto"/>
        <w:ind/>
        <w:rPr>
          <w:shd w:val="clear" w:color="auto" w:fill="ff6964"/>
        </w:rPr>
      </w:pPr>
      <w:r>
        <w:t xml:space="preserve">1.4.2.3 Синтез подходов LSTM и RL</w:t>
      </w:r>
      <w:r>
        <w:t xml:space="preserve"> </w:t>
      </w:r>
      <w:r>
        <w:rPr>
          <w:shd w:val="clear" w:color="auto" w:fill="ff6964"/>
        </w:rPr>
      </w:r>
    </w:p>
    <w:p>
      <w:pPr>
        <w:pBdr/>
        <w:spacing w:line="360" w:lineRule="auto"/>
        <w:ind/>
        <w:rPr/>
      </w:pPr>
      <w:r>
        <w:t xml:space="preserve">Описанные подходы для эффективного решения задачи DLM следует использовать совместно. </w:t>
      </w:r>
      <w:r>
        <w:t xml:space="preserve">Прогностическая способность LSTM дополняется способностью RL-агента принимать решения в условиях неопределённости.</w:t>
      </w:r>
      <w:r/>
    </w:p>
    <w:p>
      <w:pPr>
        <w:pBdr/>
        <w:spacing w:line="360" w:lineRule="auto"/>
        <w:ind/>
        <w:rPr/>
      </w:pPr>
      <w:r>
        <w:t xml:space="preserve">В гибридном подходе LSTM обрабатывает историю доступов и выдаёт прогноз будущей ценности объекта — например, вероятность скорой популярности. </w:t>
      </w:r>
      <w:r/>
    </w:p>
    <w:p>
      <w:pPr>
        <w:pBdr/>
        <w:spacing w:line="360" w:lineRule="auto"/>
        <w:ind/>
        <w:rPr/>
      </w:pPr>
      <w:r>
        <w:t xml:space="preserve">RL-модель получает на вх</w:t>
      </w:r>
      <w:r>
        <w:t xml:space="preserve">од текущее состояние системы и предсказание будущего: сезонные паттерны или долгосрочные тренды. Это позволяет агенту заблаговременно переместить объект на быстрый уровень при прогнозируемой востребованности, предотвращая задержки при внезапном обращении. </w:t>
      </w:r>
      <w:r>
        <w:t xml:space="preserve">Агент также рационально использует ресурсы, отказываясь от перемещения объектов с низким прогнозом востребованности, что критично в условиях ограниченных ресурсов.</w:t>
      </w:r>
      <w:r/>
    </w:p>
    <w:p>
      <w:pPr>
        <w:pBdr/>
        <w:spacing w:line="360" w:lineRule="auto"/>
        <w:ind/>
        <w:rPr/>
      </w:pPr>
      <w:r>
        <w:t xml:space="preserve">Такой синтез позволяет системе не просто адаптироваться к изменениям, но и предупреждать их.</w:t>
      </w:r>
      <w:r/>
    </w:p>
    <w:p>
      <w:pPr>
        <w:pBdr/>
        <w:spacing w:line="360" w:lineRule="auto"/>
        <w:ind/>
        <w:rPr/>
      </w:pPr>
      <w:r>
        <w:t xml:space="preserve">На Ри</w:t>
      </w:r>
      <w:r>
        <w:t xml:space="preserve">сунке 1.5 представлена принципиальная схема, отражающая принцип работы рассмотренной гибридной архитектуры. Схема иллюстрирует поток данных и управления между интеллектуальный оркестратор, который составляют взаимодействующие нейросети и хранилищем данных.</w:t>
      </w:r>
      <w:r/>
    </w:p>
    <w:p>
      <w:pPr>
        <w:pBdr/>
        <w:spacing w:line="360" w:lineRule="auto"/>
        <w:ind/>
        <w:rPr/>
      </w:pPr>
      <w:r>
        <w:t xml:space="preserve">Модуль LSTM анализирует историю обращений и прогнозирует будущую популярность каждого объекта.</w:t>
      </w:r>
      <w:r/>
    </w:p>
    <w:p>
      <w:pPr>
        <w:pBdr/>
        <w:spacing w:line="360" w:lineRule="auto"/>
        <w:ind/>
        <w:rPr/>
      </w:pPr>
      <w:r>
        <w:t xml:space="preserve">Взаимодействие компонентов организовано по принципу «прогноз-действие»: и</w:t>
      </w:r>
      <w:r>
        <w:t xml:space="preserve">з SDS-кластера непрерывно поступает поток логов и аппаратных метрик в блок сбора данных, который очищает их, формируя входные данные для когнитивного слоя системы. Каждое решение о перемещении </w:t>
      </w:r>
      <w:r>
        <w:t xml:space="preserve">проходит валидацию на соответствие приоритетным правилам, заданным администратором. </w:t>
      </w:r>
      <w:r>
        <w:t xml:space="preserve">Иерархическая СХД выполняет миграции согласно прошедшим проверку решениям агента.</w:t>
      </w:r>
      <w:r/>
    </w:p>
    <w:p>
      <w:pPr>
        <w:pBdr/>
        <w:spacing w:line="360" w:lineRule="auto"/>
        <w:ind w:firstLine="0"/>
        <w:jc w:val="center"/>
        <w:rPr>
          <w:shd w:val="clear" w:color="auto" w:fill="ffedba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24425" cy="6124575"/>
                <wp:effectExtent l="0" t="0" r="0" b="0"/>
                <wp:docPr id="7" name="Drawing 1774536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4536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924425" cy="6124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87.75pt;height:482.2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shd w:val="clear" w:color="auto" w:fill="ffedba"/>
        </w:rPr>
      </w:r>
    </w:p>
    <w:p>
      <w:pPr>
        <w:pStyle w:val="708"/>
        <w:pBdr/>
        <w:spacing/>
        <w:ind/>
        <w:jc w:val="center"/>
        <w:rPr/>
      </w:pPr>
      <w:r>
        <w:t xml:space="preserve">Рисунок 1.5 - </w:t>
      </w:r>
      <w:r>
        <w:t xml:space="preserve">Принципиальная схема гибридной архитектуры взаимодействия LSTM и RL</w:t>
      </w:r>
      <w:r/>
    </w:p>
    <w:p>
      <w:pPr>
        <w:pBdr/>
        <w:spacing w:line="360" w:lineRule="auto"/>
        <w:ind/>
        <w:rPr/>
      </w:pPr>
      <w:r>
        <w:t xml:space="preserve">Обратная связь по </w:t>
      </w:r>
      <w:r>
        <w:t xml:space="preserve">результатам выполнения миграции</w:t>
      </w:r>
      <w:r>
        <w:t xml:space="preserve"> позволяет агенту постоянно улучшать свою стратегию благодаря тому, что  данные о </w:t>
      </w:r>
      <w:r>
        <w:t xml:space="preserve">фактических затратах и задержках </w:t>
      </w:r>
      <w:r>
        <w:t xml:space="preserve">возвращаются как сигнал вознаграждения для дальнейшего самообучения.</w:t>
      </w:r>
      <w:r/>
    </w:p>
    <w:p>
      <w:pPr>
        <w:pBdr/>
        <w:spacing w:line="360" w:lineRule="auto"/>
        <w:ind/>
        <w:rPr/>
      </w:pPr>
      <w:r>
        <w:t xml:space="preserve">Данная структура позволяет системе быть проактивной: миграция начинается не тогда, когда сервер уже нагружен, а в момент, когда LSTM предсказал рост популярности контента.</w:t>
      </w:r>
      <w:r/>
    </w:p>
    <w:p>
      <w:pPr>
        <w:pStyle w:val="700"/>
        <w:pBdr/>
        <w:spacing w:line="360" w:lineRule="auto"/>
        <w:ind/>
        <w:rPr/>
      </w:pPr>
      <w:r>
        <w:t xml:space="preserve">1.5 Требования к системе</w:t>
      </w:r>
      <w:r/>
    </w:p>
    <w:p>
      <w:pPr>
        <w:pBdr/>
        <w:spacing/>
        <w:ind/>
        <w:rPr/>
      </w:pPr>
      <w:r>
        <w:t xml:space="preserve">На основе проведенного анализа предметной области и особенностей функционирования высоконагруженных медиа-платформ, требуется сформулировать требования к проектируемому интеллектуальному оркестратору и системе, в рамках которой он будет функционировать.</w:t>
      </w:r>
      <w:r/>
    </w:p>
    <w:p>
      <w:pPr>
        <w:pStyle w:val="701"/>
        <w:pBdr/>
        <w:spacing w:line="360" w:lineRule="auto"/>
        <w:ind/>
        <w:rPr/>
      </w:pPr>
      <w:r>
        <w:t xml:space="preserve">1.5.1 Функциональные требования</w:t>
      </w:r>
      <w:r/>
    </w:p>
    <w:p>
      <w:pPr>
        <w:pBdr/>
        <w:spacing w:line="360" w:lineRule="auto"/>
        <w:ind/>
        <w:rPr/>
      </w:pPr>
      <w:r>
        <w:t xml:space="preserve">Для обеспечения полной автоматизации цикла управления данными определены следующие функциональные возможности, которые система должна реализовывать в рамках мониторинга, аналитики и активного воздействия на инфраструктуру хранения:</w:t>
      </w:r>
      <w:r/>
    </w:p>
    <w:p>
      <w:pPr>
        <w:numPr>
          <w:ilvl w:val="0"/>
          <w:numId w:val="6"/>
        </w:numPr>
        <w:pBdr/>
        <w:spacing w:line="360" w:lineRule="auto"/>
        <w:ind w:firstLine="708" w:left="0"/>
        <w:rPr/>
      </w:pPr>
      <w:r>
        <w:t xml:space="preserve">Система обязана осуществлять сбор логов доступа (в форматах S3/JSON) и аппаратных метрик (IOPS, задержка, свободное пространство) с периодичностью не реже одного раза в 60 секунд.</w:t>
      </w:r>
      <w:r/>
    </w:p>
    <w:p>
      <w:pPr>
        <w:numPr>
          <w:ilvl w:val="0"/>
          <w:numId w:val="6"/>
        </w:numPr>
        <w:pBdr/>
        <w:spacing w:line="360" w:lineRule="auto"/>
        <w:ind w:firstLine="708" w:left="0"/>
        <w:rPr/>
      </w:pPr>
      <w:r>
        <w:t xml:space="preserve">Модуль прогнозирования на базе LSTM должен выявлять тренды популярности объектов, обеспечивая точность прогноза (средняя абсолютная ошибка) не более 15% на горизонте планирования в 6 часов.</w:t>
      </w:r>
      <w:r/>
    </w:p>
    <w:p>
      <w:pPr>
        <w:numPr>
          <w:ilvl w:val="0"/>
          <w:numId w:val="6"/>
        </w:numPr>
        <w:pBdr/>
        <w:spacing w:line="360" w:lineRule="auto"/>
        <w:ind w:firstLine="708" w:left="0"/>
        <w:rPr/>
      </w:pPr>
      <w:r>
        <w:t xml:space="preserve">Агент принятия решений н</w:t>
      </w:r>
      <w:r>
        <w:t xml:space="preserve">а основе обучения с подкреплением (RL-модуль) должен инициировать перемещение объектов между уровнями хранения с целью минимизации совокупной стоимости владения (TCO) при строгом соблюдении задержек доступа, установленных соглашением об уровне услуг (SLA).</w:t>
      </w:r>
      <w:r/>
    </w:p>
    <w:p>
      <w:pPr>
        <w:numPr>
          <w:ilvl w:val="0"/>
          <w:numId w:val="6"/>
        </w:numPr>
        <w:pBdr/>
        <w:spacing w:line="360" w:lineRule="auto"/>
        <w:ind w:firstLine="708" w:left="0"/>
        <w:rPr/>
      </w:pPr>
      <w:r>
        <w:t xml:space="preserve">Система должна уметь связывать оригинал видео с его производными и управлять их миграцией как единым логическим объектом.</w:t>
      </w:r>
      <w:r/>
    </w:p>
    <w:p>
      <w:pPr>
        <w:numPr>
          <w:ilvl w:val="0"/>
          <w:numId w:val="6"/>
        </w:numPr>
        <w:pBdr/>
        <w:spacing w:line="360" w:lineRule="auto"/>
        <w:ind w:firstLine="708" w:left="0"/>
        <w:rPr/>
      </w:pPr>
      <w:r>
        <w:t xml:space="preserve">Необходима поддержка «жестких» ограничений, задаваемых администратором, которые имеют безусловный приоритет над решениями, предлагаемыми нейросетевыми алгоритмами.</w:t>
      </w:r>
      <w:r/>
    </w:p>
    <w:p>
      <w:pPr>
        <w:numPr>
          <w:ilvl w:val="0"/>
          <w:numId w:val="6"/>
        </w:numPr>
        <w:pBdr/>
        <w:spacing w:line="360" w:lineRule="auto"/>
        <w:ind w:firstLine="708" w:left="0"/>
        <w:rPr/>
      </w:pPr>
      <w:r>
        <w:t xml:space="preserve">Оркестратор должен обеспечивать взаимодействие с внешними системами хранения данных посредством стандартных интерфейсов (API).</w:t>
      </w:r>
      <w:r/>
    </w:p>
    <w:p>
      <w:pPr>
        <w:numPr>
          <w:ilvl w:val="0"/>
          <w:numId w:val="6"/>
        </w:numPr>
        <w:pBdr/>
        <w:spacing w:line="360" w:lineRule="auto"/>
        <w:ind w:firstLine="708" w:left="0"/>
        <w:rPr/>
      </w:pPr>
      <w:r>
        <w:t xml:space="preserve">Требуется наличие веб-интерфейса для отображения текущего распределения данных по уровням хранения, отображения действий, совершенных агентом ИИ, а также для оценки экономической эффективности работы системы.</w:t>
      </w:r>
      <w:r/>
    </w:p>
    <w:p>
      <w:pPr>
        <w:pStyle w:val="702"/>
        <w:pBdr/>
        <w:spacing w:line="360" w:lineRule="auto"/>
        <w:ind/>
        <w:rPr/>
      </w:pPr>
      <w:r>
        <w:t xml:space="preserve">1.5.2 Нефункциональные требования</w:t>
      </w:r>
      <w:r/>
    </w:p>
    <w:p>
      <w:pPr>
        <w:pBdr/>
        <w:spacing w:line="360" w:lineRule="auto"/>
        <w:ind/>
        <w:rPr/>
      </w:pPr>
      <w:r>
        <w:t xml:space="preserve">Для обеспечения промышленного качества, надежности и эффективности функционирования интеллектуального оркестратора определены следующие эксплуатационные характеристики и ограничения:</w:t>
      </w:r>
      <w:r/>
    </w:p>
    <w:p>
      <w:pPr>
        <w:numPr>
          <w:ilvl w:val="0"/>
          <w:numId w:val="8"/>
        </w:numPr>
        <w:pBdr/>
        <w:spacing w:line="360" w:lineRule="auto"/>
        <w:ind w:firstLine="708" w:left="0"/>
        <w:rPr/>
      </w:pPr>
      <w:r>
        <w:t xml:space="preserve">Временной интервал от фиксации изменения паттерна доступа до отправки команды на миграцию не должен превышать 15 секунд.</w:t>
      </w:r>
      <w:r/>
    </w:p>
    <w:p>
      <w:pPr>
        <w:numPr>
          <w:ilvl w:val="0"/>
          <w:numId w:val="8"/>
        </w:numPr>
        <w:pBdr/>
        <w:spacing w:line="360" w:lineRule="auto"/>
        <w:ind w:firstLine="708" w:left="0"/>
        <w:rPr/>
      </w:pPr>
      <w:r>
        <w:t xml:space="preserve">Сбой любого модуля оркестратора не должен блокировать прямой доступ пользователей к данным в СХД. Система должна поддерживать режим доступности 99.9%.</w:t>
      </w:r>
      <w:r/>
    </w:p>
    <w:p>
      <w:pPr>
        <w:numPr>
          <w:ilvl w:val="0"/>
          <w:numId w:val="8"/>
        </w:numPr>
        <w:pBdr/>
        <w:spacing w:line="360" w:lineRule="auto"/>
        <w:ind w:firstLine="708" w:left="0"/>
        <w:rPr/>
      </w:pPr>
      <w:r>
        <w:t xml:space="preserve">Требуется реализация мандатной модели управления (RBAC) и поддержка защищенных контуров (открытый/закрытый) в соответствии с требованиями для объектов </w:t>
      </w:r>
      <w:r>
        <w:t xml:space="preserve"> критической информационной инфраструктуры (</w:t>
      </w:r>
      <w:r>
        <w:t xml:space="preserve">КИИ).</w:t>
      </w:r>
      <w:r/>
    </w:p>
    <w:p>
      <w:pPr>
        <w:numPr>
          <w:ilvl w:val="0"/>
          <w:numId w:val="8"/>
        </w:numPr>
        <w:pBdr/>
        <w:spacing w:line="360" w:lineRule="auto"/>
        <w:ind w:firstLine="708" w:left="0"/>
        <w:rPr/>
      </w:pPr>
      <w:r>
        <w:t xml:space="preserve">Обязательна проверка контрольных сумм при перемещении объектов между уровнями хранения и ведение неизменяемого журнала (Audit Log) всех операций миграции.</w:t>
      </w:r>
      <w:r/>
    </w:p>
    <w:p>
      <w:pPr>
        <w:numPr>
          <w:ilvl w:val="0"/>
          <w:numId w:val="8"/>
        </w:numPr>
        <w:pBdr/>
        <w:spacing w:line="360" w:lineRule="auto"/>
        <w:ind w:firstLine="708" w:left="0"/>
        <w:rPr/>
      </w:pPr>
      <w:r>
        <w:t xml:space="preserve">Система обязана корректно обрабатывать до 50 000 записей логов в секунду в периоды пиковых нагрузок.</w:t>
      </w:r>
      <w:r/>
    </w:p>
    <w:p>
      <w:pPr>
        <w:numPr>
          <w:ilvl w:val="0"/>
          <w:numId w:val="8"/>
        </w:numPr>
        <w:pBdr/>
        <w:spacing w:line="360" w:lineRule="auto"/>
        <w:ind w:firstLine="708" w:left="0"/>
        <w:rPr/>
      </w:pPr>
      <w:r>
        <w:t xml:space="preserve">Архитектура должна обеспечивать управление инфраструктурой объемом до 100 ПБ и количеством уникальных объектов до 1 миллиарда.</w:t>
      </w:r>
      <w:r/>
    </w:p>
    <w:p>
      <w:pPr>
        <w:numPr>
          <w:ilvl w:val="0"/>
          <w:numId w:val="8"/>
        </w:numPr>
        <w:pBdr/>
        <w:spacing w:line="360" w:lineRule="auto"/>
        <w:ind w:firstLine="708" w:left="0"/>
        <w:rPr/>
      </w:pPr>
      <w:r>
        <w:t xml:space="preserve">В случае критического сбоя базы метаданных оркестратора должна быть предусмотрена возможность восстановления информации о «температуре» данных (частоте обращений) путем повторного анализа накопленных логов за последние 24 часа.</w:t>
      </w:r>
      <w:r/>
    </w:p>
    <w:p>
      <w:pPr>
        <w:numPr>
          <w:ilvl w:val="0"/>
          <w:numId w:val="8"/>
        </w:numPr>
        <w:pBdr/>
        <w:spacing w:line="360" w:lineRule="auto"/>
        <w:ind w:firstLine="708" w:left="0"/>
        <w:rPr/>
      </w:pPr>
      <w:r>
        <w:t xml:space="preserve">Оркестратор не должен обладать правами на окончательное (безвозвратное) удаление данных из системы хранения, за исключением случаев, явно разрешенных глобальным профилем безопасности организации.</w:t>
      </w:r>
      <w:r/>
    </w:p>
    <w:p>
      <w:pPr>
        <w:pStyle w:val="701"/>
        <w:pBdr/>
        <w:spacing w:line="360" w:lineRule="auto"/>
        <w:ind/>
        <w:rPr/>
      </w:pPr>
      <w:r>
        <w:t xml:space="preserve">1.6 Вывод по аналитическому разделу</w:t>
      </w:r>
      <w:r/>
    </w:p>
    <w:p>
      <w:pPr>
        <w:pBdr/>
        <w:spacing w:line="360" w:lineRule="auto"/>
        <w:ind/>
        <w:rPr/>
      </w:pPr>
      <w:r>
        <w:t xml:space="preserve">В рамках первой главы был проведен комплексный анализ предметной области управления жизненным циклом данных в высоконагруженных системах видеохостинга.</w:t>
      </w:r>
      <w:r/>
    </w:p>
    <w:p>
      <w:pPr>
        <w:pBdr/>
        <w:spacing w:line="360" w:lineRule="auto"/>
        <w:ind/>
        <w:rPr/>
      </w:pPr>
      <w:r>
        <w:t xml:space="preserve">Результаты анализа позволяют сделать следующие выводы:</w:t>
      </w:r>
      <w:r/>
    </w:p>
    <w:p>
      <w:pPr>
        <w:numPr>
          <w:ilvl w:val="0"/>
          <w:numId w:val="9"/>
        </w:numPr>
        <w:pBdr/>
        <w:spacing w:line="360" w:lineRule="auto"/>
        <w:ind w:firstLine="708" w:left="0"/>
        <w:rPr/>
      </w:pPr>
      <w:r>
        <w:t xml:space="preserve">Традиционные методы управления данными, основанные на статических правилах, демонстрируют низкую эффективность в условиях динамически меняющейся популярности контента, что приводит к неоправданному росту затрат на содержание «горячих» уровней хранения. </w:t>
      </w:r>
      <w:r/>
    </w:p>
    <w:p>
      <w:pPr>
        <w:numPr>
          <w:ilvl w:val="0"/>
          <w:numId w:val="9"/>
        </w:numPr>
        <w:pBdr/>
        <w:spacing w:line="360" w:lineRule="auto"/>
        <w:ind w:firstLine="708" w:left="0"/>
        <w:rPr/>
      </w:pPr>
      <w:r>
        <w:t xml:space="preserve">Сравнительный анализ экономи</w:t>
      </w:r>
      <w:r>
        <w:t xml:space="preserve">ческих показателей уровней HSM выявил десятикратную разницу в стоимости хранения между NVMe-накопителями и архивными ленточными системами, что подтверждает критическую необходимость внедрения механизмов своевременного тиринга (Tiering) для оптимизации TCO.</w:t>
      </w:r>
      <w:r/>
    </w:p>
    <w:p>
      <w:pPr>
        <w:numPr>
          <w:ilvl w:val="0"/>
          <w:numId w:val="9"/>
        </w:numPr>
        <w:pBdr/>
        <w:spacing w:line="360" w:lineRule="auto"/>
        <w:ind w:firstLine="708" w:left="0"/>
        <w:rPr/>
      </w:pPr>
      <w:r>
        <w:t xml:space="preserve">Применение гибридного подхода на базе нейросетей LSTM для прогнозирования спроса и обучения с подкреплением (RL) для принятия решений является наиболее перспективным путем перехода от пассивных хранилищ к активным интеллектуальным системам управления.</w:t>
      </w:r>
      <w:r/>
    </w:p>
    <w:p>
      <w:pPr>
        <w:numPr>
          <w:ilvl w:val="0"/>
          <w:numId w:val="9"/>
        </w:numPr>
        <w:pBdr/>
        <w:spacing w:line="360" w:lineRule="auto"/>
        <w:ind w:firstLine="708" w:left="0"/>
        <w:rPr/>
      </w:pPr>
      <w:r>
        <w:t xml:space="preserve">Сформированные функциональные и нефункциональные требования закладывают основу для проектирования архитектуры, способной интегрироваться с современным отечественным оборудованием и обеспечивать технологический суверенитет ИТ-инфраструктуры.</w:t>
      </w:r>
      <w:r/>
    </w:p>
    <w:p>
      <w:pPr>
        <w:pBdr/>
        <w:spacing/>
        <w:ind/>
        <w:rPr/>
      </w:pPr>
      <w:r>
        <w:t xml:space="preserve">Таким образом, актуальность разработки интеллектуального оркестратора подтверждена как с экономической, так и с технологической точек зрения, что позволяет перейти к этапу проектирования системы.</w:t>
      </w:r>
      <w:r>
        <w:br w:type="page" w:clear="all"/>
      </w:r>
      <w:r/>
    </w:p>
    <w:p>
      <w:pPr>
        <w:pStyle w:val="700"/>
        <w:pBdr/>
        <w:spacing/>
        <w:ind/>
        <w:rPr/>
      </w:pPr>
      <w:r>
        <w:t xml:space="preserve">2 ПРОЕКТНЫЙ РАЗДЕЛ</w:t>
      </w:r>
      <w:r/>
    </w:p>
    <w:p>
      <w:pPr>
        <w:pBdr/>
        <w:spacing/>
        <w:ind/>
        <w:rPr/>
      </w:pPr>
      <w:r>
        <w:t xml:space="preserve">Проектный раздел посвящен разработке архитект</w:t>
      </w:r>
      <w:r>
        <w:t xml:space="preserve">урных решений, алгоритмического обеспечения и интерфейсов управления интеллектуального оркестратора. В данной главе рассматриваются вопросы построения масштабируемой системы, способной эффективно координировать жизненный цикл данных в распределенной среде.</w:t>
      </w:r>
      <w:r/>
    </w:p>
    <w:p>
      <w:pPr>
        <w:pStyle w:val="701"/>
        <w:pBdr/>
        <w:spacing/>
        <w:ind/>
        <w:rPr/>
      </w:pPr>
      <w:r>
        <w:t xml:space="preserve">2.1 </w:t>
      </w:r>
      <w:r>
        <w:t xml:space="preserve">Проектирование архитектуры оркестратора</w:t>
      </w:r>
      <w:r/>
    </w:p>
    <w:p>
      <w:pPr>
        <w:pBdr/>
        <w:spacing/>
        <w:ind/>
        <w:rPr/>
      </w:pPr>
      <w:r>
        <w:t xml:space="preserve">Выбор архитектурного стиля определяет гибкость системы, её способность к масштабированию и интеграции с разнородными подсистемами хранения. В данном подразделе проводится обоснование выбора структуры оркестратора и детализация его компонентов. </w:t>
      </w:r>
      <w:r>
        <w:t xml:space="preserve">На этапе проектирования критически важным является выбор архитектурного стиля, обеспечивающего гибкость внедрения ИИ-моделей и надежность управления массивами данных объемом до 100 ПБ.</w:t>
      </w:r>
      <w:r/>
    </w:p>
    <w:p>
      <w:pPr>
        <w:pStyle w:val="702"/>
        <w:pBdr/>
        <w:spacing/>
        <w:ind/>
        <w:rPr/>
      </w:pPr>
      <w:r>
        <w:t xml:space="preserve">2.1.1 Сравнительный анализ и выбор архитектуры</w:t>
      </w:r>
      <w:r/>
    </w:p>
    <w:p>
      <w:pPr>
        <w:pBdr/>
        <w:spacing/>
        <w:ind/>
        <w:rPr/>
      </w:pPr>
      <w:r>
        <w:t xml:space="preserve">Для построения системы оркестрации рассматриваются три основных архитектурных подхода: монолитный, сервисно-ориентированный (SOA) и микросервисный. Сравнительная характеристика данных подходов представлена в Таблице 2.1.</w:t>
      </w:r>
      <w:r/>
    </w:p>
    <w:p>
      <w:pPr>
        <w:pBdr/>
        <w:spacing/>
        <w:ind w:firstLine="0"/>
        <w:rPr>
          <w:i/>
        </w:rPr>
      </w:pPr>
      <w:r>
        <w:rPr>
          <w:i/>
        </w:rPr>
        <w:t xml:space="preserve">Таблица 2.1 — Сравнительный анализ архитектурных подходов</w:t>
      </w:r>
      <w:r>
        <w:rPr>
          <w:i/>
        </w:rPr>
      </w:r>
    </w:p>
    <w:tbl>
      <w:tblPr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>
        <w:trPr>
          <w:cantSplit w:val="false"/>
          <w:trHeight w:val="1253"/>
        </w:trPr>
        <w:tc>
          <w:tcPr>
            <w:shd w:val="clear" w:color="auto" w:fill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bottom w:w="240" w:type="dxa"/>
            </w:tcMar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240" w:before="240" w:line="240" w:lineRule="auto"/>
              <w:ind w:right="64" w:firstLine="0" w:left="64"/>
              <w:jc w:val="center"/>
              <w:rPr>
                <w:b/>
                <w:color w:val="1f1f1f"/>
                <w:sz w:val="24"/>
              </w:rPr>
            </w:pPr>
            <w:r>
              <w:rPr>
                <w:b/>
                <w:color w:val="1f1f1f"/>
                <w:sz w:val="24"/>
                <w:rtl w:val="0"/>
              </w:rPr>
              <w:t xml:space="preserve">Критерий</w:t>
            </w:r>
            <w:r>
              <w:rPr>
                <w:b/>
                <w:color w:val="1f1f1f"/>
                <w:sz w:val="24"/>
              </w:rPr>
            </w:r>
          </w:p>
        </w:tc>
        <w:tc>
          <w:tcPr>
            <w:shd w:val="clear" w:color="auto" w:fill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bottom w:w="240" w:type="dxa"/>
            </w:tcMar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240" w:before="240" w:line="240" w:lineRule="auto"/>
              <w:ind w:right="64" w:firstLine="0" w:left="64"/>
              <w:jc w:val="center"/>
              <w:rPr>
                <w:b/>
                <w:color w:val="1f1f1f"/>
                <w:sz w:val="24"/>
              </w:rPr>
            </w:pPr>
            <w:r>
              <w:rPr>
                <w:b/>
                <w:color w:val="1f1f1f"/>
                <w:sz w:val="24"/>
                <w:rtl w:val="0"/>
              </w:rPr>
              <w:t xml:space="preserve">Монолитная</w:t>
            </w:r>
            <w:r>
              <w:rPr>
                <w:b/>
                <w:color w:val="1f1f1f"/>
                <w:sz w:val="24"/>
              </w:rPr>
            </w:r>
          </w:p>
        </w:tc>
        <w:tc>
          <w:tcPr>
            <w:shd w:val="clear" w:color="auto" w:fill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bottom w:w="240" w:type="dxa"/>
            </w:tcMar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240" w:before="240" w:line="240" w:lineRule="auto"/>
              <w:ind w:right="64" w:firstLine="0" w:left="64"/>
              <w:jc w:val="center"/>
              <w:rPr>
                <w:b/>
                <w:color w:val="1f1f1f"/>
                <w:sz w:val="24"/>
              </w:rPr>
            </w:pPr>
            <w:r>
              <w:rPr>
                <w:b/>
                <w:color w:val="1f1f1f"/>
                <w:sz w:val="24"/>
                <w:rtl w:val="0"/>
              </w:rPr>
              <w:t xml:space="preserve">SOA</w:t>
            </w:r>
            <w:r>
              <w:rPr>
                <w:b/>
                <w:color w:val="1f1f1f"/>
                <w:sz w:val="24"/>
              </w:rPr>
            </w:r>
          </w:p>
        </w:tc>
        <w:tc>
          <w:tcPr>
            <w:shd w:val="clear" w:color="auto" w:fill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bottom w:w="240" w:type="dxa"/>
            </w:tcMar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240" w:before="240" w:line="240" w:lineRule="auto"/>
              <w:ind w:right="64" w:firstLine="0" w:left="64"/>
              <w:jc w:val="center"/>
              <w:rPr>
                <w:b/>
                <w:color w:val="1f1f1f"/>
                <w:sz w:val="24"/>
              </w:rPr>
            </w:pPr>
            <w:r>
              <w:rPr>
                <w:b/>
                <w:color w:val="1f1f1f"/>
                <w:sz w:val="24"/>
                <w:rtl w:val="0"/>
              </w:rPr>
              <w:t xml:space="preserve">Микросервисная</w:t>
            </w:r>
            <w:r>
              <w:rPr>
                <w:b/>
                <w:color w:val="1f1f1f"/>
                <w:sz w:val="24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bottom w:w="240" w:type="dxa"/>
            </w:tcMar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240" w:before="240" w:line="240" w:lineRule="auto"/>
              <w:ind w:right="64" w:firstLine="0" w:left="64"/>
              <w:jc w:val="center"/>
              <w:rPr>
                <w:color w:val="1f1f1f"/>
                <w:sz w:val="24"/>
              </w:rPr>
            </w:pPr>
            <w:r>
              <w:rPr>
                <w:color w:val="1f1f1f"/>
                <w:sz w:val="24"/>
                <w:rtl w:val="0"/>
              </w:rPr>
              <w:t xml:space="preserve">Масштабируемость</w:t>
            </w:r>
            <w:r>
              <w:rPr>
                <w:color w:val="1f1f1f"/>
                <w:sz w:val="24"/>
              </w:rPr>
            </w:r>
          </w:p>
        </w:tc>
        <w:tc>
          <w:tcPr>
            <w:shd w:val="clear" w:color="auto" w:fill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bottom w:w="240" w:type="dxa"/>
            </w:tcMar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240" w:before="240" w:line="240" w:lineRule="auto"/>
              <w:ind w:right="64" w:firstLine="0" w:left="64"/>
              <w:jc w:val="center"/>
              <w:rPr>
                <w:color w:val="1f1f1f"/>
                <w:sz w:val="24"/>
              </w:rPr>
            </w:pPr>
            <w:r>
              <w:rPr>
                <w:color w:val="1f1f1f"/>
                <w:sz w:val="24"/>
                <w:rtl w:val="0"/>
              </w:rPr>
              <w:t xml:space="preserve">Низкая</w:t>
            </w:r>
            <w:r>
              <w:rPr>
                <w:color w:val="1f1f1f"/>
                <w:sz w:val="24"/>
              </w:rPr>
            </w:r>
          </w:p>
        </w:tc>
        <w:tc>
          <w:tcPr>
            <w:shd w:val="clear" w:color="auto" w:fill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bottom w:w="240" w:type="dxa"/>
            </w:tcMar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240" w:before="240" w:line="240" w:lineRule="auto"/>
              <w:ind w:right="64" w:firstLine="0" w:left="64"/>
              <w:jc w:val="center"/>
              <w:rPr>
                <w:color w:val="1f1f1f"/>
                <w:sz w:val="24"/>
              </w:rPr>
            </w:pPr>
            <w:r>
              <w:rPr>
                <w:color w:val="1f1f1f"/>
                <w:sz w:val="24"/>
                <w:rtl w:val="0"/>
              </w:rPr>
              <w:t xml:space="preserve">Средняя</w:t>
            </w:r>
            <w:r>
              <w:rPr>
                <w:color w:val="1f1f1f"/>
                <w:sz w:val="24"/>
              </w:rPr>
            </w:r>
          </w:p>
        </w:tc>
        <w:tc>
          <w:tcPr>
            <w:shd w:val="clear" w:color="auto" w:fill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bottom w:w="240" w:type="dxa"/>
            </w:tcMar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240" w:before="240" w:line="240" w:lineRule="auto"/>
              <w:ind w:right="64" w:firstLine="0" w:left="64"/>
              <w:jc w:val="center"/>
              <w:rPr>
                <w:color w:val="1f1f1f"/>
                <w:sz w:val="24"/>
              </w:rPr>
            </w:pPr>
            <w:r>
              <w:rPr>
                <w:color w:val="1f1f1f"/>
                <w:sz w:val="24"/>
                <w:rtl w:val="0"/>
              </w:rPr>
              <w:t xml:space="preserve">Высокая (независимая)</w:t>
            </w:r>
            <w:r>
              <w:rPr>
                <w:color w:val="1f1f1f"/>
                <w:sz w:val="24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bottom w:w="240" w:type="dxa"/>
            </w:tcMar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240" w:before="240" w:line="240" w:lineRule="auto"/>
              <w:ind w:right="64" w:firstLine="0" w:left="64"/>
              <w:jc w:val="center"/>
              <w:rPr>
                <w:color w:val="1f1f1f"/>
                <w:sz w:val="24"/>
              </w:rPr>
            </w:pPr>
            <w:r>
              <w:rPr>
                <w:color w:val="1f1f1f"/>
                <w:sz w:val="24"/>
                <w:rtl w:val="0"/>
              </w:rPr>
              <w:t xml:space="preserve">Отказоустойчивость</w:t>
            </w:r>
            <w:r>
              <w:rPr>
                <w:color w:val="1f1f1f"/>
                <w:sz w:val="24"/>
              </w:rPr>
            </w:r>
          </w:p>
        </w:tc>
        <w:tc>
          <w:tcPr>
            <w:shd w:val="clear" w:color="auto" w:fill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bottom w:w="240" w:type="dxa"/>
            </w:tcMar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240" w:before="240" w:line="240" w:lineRule="auto"/>
              <w:ind w:right="64" w:firstLine="0" w:left="64"/>
              <w:jc w:val="center"/>
              <w:rPr>
                <w:color w:val="1f1f1f"/>
                <w:sz w:val="24"/>
              </w:rPr>
            </w:pPr>
            <w:r>
              <w:rPr>
                <w:color w:val="1f1f1f"/>
                <w:sz w:val="24"/>
                <w:rtl w:val="0"/>
              </w:rPr>
              <w:t xml:space="preserve">Низкая (единая точка отказа)</w:t>
            </w:r>
            <w:r>
              <w:rPr>
                <w:color w:val="1f1f1f"/>
                <w:sz w:val="24"/>
              </w:rPr>
            </w:r>
          </w:p>
        </w:tc>
        <w:tc>
          <w:tcPr>
            <w:shd w:val="clear" w:color="auto" w:fill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bottom w:w="240" w:type="dxa"/>
            </w:tcMar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240" w:before="240" w:line="240" w:lineRule="auto"/>
              <w:ind w:right="64" w:firstLine="0" w:left="64"/>
              <w:jc w:val="center"/>
              <w:rPr>
                <w:color w:val="1f1f1f"/>
                <w:sz w:val="24"/>
              </w:rPr>
            </w:pPr>
            <w:r>
              <w:rPr>
                <w:color w:val="1f1f1f"/>
                <w:sz w:val="24"/>
                <w:rtl w:val="0"/>
              </w:rPr>
              <w:t xml:space="preserve">Высокая</w:t>
            </w:r>
            <w:r>
              <w:rPr>
                <w:color w:val="1f1f1f"/>
                <w:sz w:val="24"/>
              </w:rPr>
            </w:r>
          </w:p>
        </w:tc>
        <w:tc>
          <w:tcPr>
            <w:shd w:val="clear" w:color="auto" w:fill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bottom w:w="240" w:type="dxa"/>
            </w:tcMar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240" w:before="240" w:line="240" w:lineRule="auto"/>
              <w:ind w:right="64" w:firstLine="0" w:left="64"/>
              <w:jc w:val="center"/>
              <w:rPr>
                <w:color w:val="1f1f1f"/>
                <w:sz w:val="24"/>
              </w:rPr>
            </w:pPr>
            <w:r>
              <w:rPr>
                <w:color w:val="1f1f1f"/>
                <w:sz w:val="24"/>
                <w:rtl w:val="0"/>
              </w:rPr>
              <w:t xml:space="preserve">Максимальная (изоляция сбоев)</w:t>
            </w:r>
            <w:r>
              <w:rPr>
                <w:color w:val="1f1f1f"/>
                <w:sz w:val="24"/>
              </w:rPr>
            </w:r>
          </w:p>
        </w:tc>
      </w:tr>
    </w:tbl>
    <w:p>
      <w:pPr>
        <w:pBdr/>
        <w:spacing/>
        <w:ind w:firstLine="0"/>
        <w:rPr>
          <w:i/>
        </w:rPr>
      </w:pPr>
      <w:r>
        <w:rPr>
          <w:i/>
        </w:rPr>
      </w:r>
      <w:r>
        <w:rPr>
          <w:i/>
        </w:rPr>
      </w:r>
    </w:p>
    <w:p>
      <w:pPr>
        <w:pBdr/>
        <w:spacing/>
        <w:ind w:firstLine="0"/>
        <w:rPr>
          <w:i/>
        </w:rPr>
      </w:pPr>
      <w:r>
        <w:rPr>
          <w:i/>
        </w:rPr>
        <w:t xml:space="preserve">Окончание</w:t>
      </w:r>
      <w:r>
        <w:rPr>
          <w:i/>
        </w:rPr>
        <w:t xml:space="preserve"> Таблицы 2.1</w:t>
      </w:r>
      <w:r>
        <w:rPr>
          <w:i/>
        </w:rPr>
      </w:r>
    </w:p>
    <w:tbl>
      <w:tblPr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>
        <w:trPr>
          <w:cantSplit w:val="false"/>
        </w:trPr>
        <w:tc>
          <w:tcPr>
            <w:shd w:val="clear" w:color="auto" w:fill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bottom w:w="240" w:type="dxa"/>
            </w:tcMar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240" w:before="240" w:line="240" w:lineRule="auto"/>
              <w:ind w:right="64" w:firstLine="0" w:left="64"/>
              <w:jc w:val="center"/>
              <w:rPr>
                <w:color w:val="1f1f1f"/>
                <w:sz w:val="24"/>
                <w:rtl w:val="0"/>
              </w:rPr>
            </w:pPr>
            <w:r>
              <w:rPr>
                <w:b/>
                <w:color w:val="1f1f1f"/>
                <w:sz w:val="24"/>
                <w:rtl w:val="0"/>
              </w:rPr>
              <w:t xml:space="preserve">Критерий</w:t>
            </w:r>
            <w:r>
              <w:rPr>
                <w:color w:val="1f1f1f"/>
                <w:sz w:val="24"/>
                <w:rtl w:val="0"/>
              </w:rPr>
            </w:r>
          </w:p>
        </w:tc>
        <w:tc>
          <w:tcPr>
            <w:shd w:val="clear" w:color="auto" w:fill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bottom w:w="240" w:type="dxa"/>
            </w:tcMar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240" w:before="240" w:line="240" w:lineRule="auto"/>
              <w:ind w:right="64" w:firstLine="0" w:left="64"/>
              <w:jc w:val="center"/>
              <w:rPr>
                <w:color w:val="1f1f1f"/>
                <w:sz w:val="24"/>
                <w:rtl w:val="0"/>
              </w:rPr>
            </w:pPr>
            <w:r>
              <w:rPr>
                <w:b/>
                <w:color w:val="1f1f1f"/>
                <w:sz w:val="24"/>
                <w:rtl w:val="0"/>
              </w:rPr>
              <w:t xml:space="preserve">Монолитная</w:t>
            </w:r>
            <w:r>
              <w:rPr>
                <w:color w:val="1f1f1f"/>
                <w:sz w:val="24"/>
                <w:rtl w:val="0"/>
              </w:rPr>
            </w:r>
          </w:p>
        </w:tc>
        <w:tc>
          <w:tcPr>
            <w:shd w:val="clear" w:color="auto" w:fill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bottom w:w="240" w:type="dxa"/>
            </w:tcMar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240" w:before="240" w:line="240" w:lineRule="auto"/>
              <w:ind w:right="64" w:firstLine="0" w:left="64"/>
              <w:jc w:val="center"/>
              <w:rPr>
                <w:color w:val="1f1f1f"/>
                <w:sz w:val="24"/>
                <w:rtl w:val="0"/>
              </w:rPr>
            </w:pPr>
            <w:r>
              <w:rPr>
                <w:b/>
                <w:color w:val="1f1f1f"/>
                <w:sz w:val="24"/>
                <w:rtl w:val="0"/>
              </w:rPr>
              <w:t xml:space="preserve">SOA</w:t>
            </w:r>
            <w:r>
              <w:rPr>
                <w:color w:val="1f1f1f"/>
                <w:sz w:val="24"/>
                <w:rtl w:val="0"/>
              </w:rPr>
            </w:r>
          </w:p>
        </w:tc>
        <w:tc>
          <w:tcPr>
            <w:shd w:val="clear" w:color="auto" w:fill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bottom w:w="240" w:type="dxa"/>
            </w:tcMar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240" w:before="240" w:line="240" w:lineRule="auto"/>
              <w:ind w:right="64" w:firstLine="0" w:left="64"/>
              <w:jc w:val="center"/>
              <w:rPr>
                <w:color w:val="1f1f1f"/>
                <w:sz w:val="24"/>
                <w:rtl w:val="0"/>
              </w:rPr>
            </w:pPr>
            <w:r>
              <w:rPr>
                <w:b/>
                <w:color w:val="1f1f1f"/>
                <w:sz w:val="24"/>
                <w:rtl w:val="0"/>
              </w:rPr>
              <w:t xml:space="preserve">Микросервисная</w:t>
            </w:r>
            <w:r>
              <w:rPr>
                <w:color w:val="1f1f1f"/>
                <w:sz w:val="24"/>
                <w:rtl w:val="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bottom w:w="240" w:type="dxa"/>
            </w:tcMar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240" w:before="240" w:line="240" w:lineRule="auto"/>
              <w:ind w:right="64" w:firstLine="0" w:left="64"/>
              <w:jc w:val="center"/>
              <w:rPr>
                <w:color w:val="1f1f1f"/>
                <w:sz w:val="24"/>
              </w:rPr>
            </w:pPr>
            <w:r>
              <w:rPr>
                <w:color w:val="1f1f1f"/>
                <w:sz w:val="24"/>
                <w:rtl w:val="0"/>
              </w:rPr>
              <w:t xml:space="preserve">Гибкость технологий</w:t>
            </w:r>
            <w:r>
              <w:rPr>
                <w:color w:val="1f1f1f"/>
                <w:sz w:val="24"/>
              </w:rPr>
            </w:r>
          </w:p>
        </w:tc>
        <w:tc>
          <w:tcPr>
            <w:shd w:val="clear" w:color="auto" w:fill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bottom w:w="240" w:type="dxa"/>
            </w:tcMar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240" w:before="240" w:line="240" w:lineRule="auto"/>
              <w:ind w:right="64" w:firstLine="0" w:left="64"/>
              <w:jc w:val="center"/>
              <w:rPr>
                <w:color w:val="1f1f1f"/>
                <w:sz w:val="24"/>
              </w:rPr>
            </w:pPr>
            <w:r>
              <w:rPr>
                <w:color w:val="1f1f1f"/>
                <w:sz w:val="24"/>
                <w:rtl w:val="0"/>
              </w:rPr>
              <w:t xml:space="preserve">Отсутствует</w:t>
            </w:r>
            <w:r>
              <w:rPr>
                <w:color w:val="1f1f1f"/>
                <w:sz w:val="24"/>
              </w:rPr>
            </w:r>
          </w:p>
        </w:tc>
        <w:tc>
          <w:tcPr>
            <w:shd w:val="clear" w:color="auto" w:fill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bottom w:w="240" w:type="dxa"/>
            </w:tcMar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240" w:before="240" w:line="240" w:lineRule="auto"/>
              <w:ind w:right="64" w:firstLine="0" w:left="64"/>
              <w:jc w:val="center"/>
              <w:rPr>
                <w:color w:val="1f1f1f"/>
                <w:sz w:val="24"/>
              </w:rPr>
            </w:pPr>
            <w:r>
              <w:rPr>
                <w:color w:val="1f1f1f"/>
                <w:sz w:val="24"/>
                <w:rtl w:val="0"/>
              </w:rPr>
              <w:t xml:space="preserve">Ограничена</w:t>
            </w:r>
            <w:r>
              <w:rPr>
                <w:color w:val="1f1f1f"/>
                <w:sz w:val="24"/>
              </w:rPr>
            </w:r>
          </w:p>
        </w:tc>
        <w:tc>
          <w:tcPr>
            <w:shd w:val="clear" w:color="auto" w:fill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bottom w:w="240" w:type="dxa"/>
            </w:tcMar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240" w:before="240" w:line="240" w:lineRule="auto"/>
              <w:ind w:right="64" w:firstLine="0" w:left="64"/>
              <w:jc w:val="center"/>
              <w:rPr>
                <w:color w:val="1f1f1f"/>
                <w:sz w:val="24"/>
              </w:rPr>
            </w:pPr>
            <w:r>
              <w:rPr>
                <w:color w:val="1f1f1f"/>
                <w:sz w:val="24"/>
                <w:rtl w:val="0"/>
              </w:rPr>
              <w:t xml:space="preserve">Полная (разные стеки для ИИ и API)</w:t>
            </w:r>
            <w:r>
              <w:rPr>
                <w:color w:val="1f1f1f"/>
                <w:sz w:val="24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bottom w:w="240" w:type="dxa"/>
            </w:tcMar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240" w:before="240" w:line="240" w:lineRule="auto"/>
              <w:ind w:right="64" w:firstLine="0" w:left="64"/>
              <w:jc w:val="center"/>
              <w:rPr>
                <w:color w:val="1f1f1f"/>
                <w:sz w:val="24"/>
              </w:rPr>
            </w:pPr>
            <w:r>
              <w:rPr>
                <w:color w:val="1f1f1f"/>
                <w:sz w:val="24"/>
                <w:rtl w:val="0"/>
              </w:rPr>
              <w:t xml:space="preserve">Сложность поддержки</w:t>
            </w:r>
            <w:r>
              <w:rPr>
                <w:color w:val="1f1f1f"/>
                <w:sz w:val="24"/>
              </w:rPr>
            </w:r>
          </w:p>
        </w:tc>
        <w:tc>
          <w:tcPr>
            <w:shd w:val="clear" w:color="auto" w:fill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bottom w:w="240" w:type="dxa"/>
            </w:tcMar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240" w:before="240" w:line="240" w:lineRule="auto"/>
              <w:ind w:right="64" w:firstLine="0" w:left="64"/>
              <w:jc w:val="center"/>
              <w:rPr>
                <w:color w:val="1f1f1f"/>
                <w:sz w:val="24"/>
              </w:rPr>
            </w:pPr>
            <w:r>
              <w:rPr>
                <w:color w:val="1f1f1f"/>
                <w:sz w:val="24"/>
                <w:rtl w:val="0"/>
              </w:rPr>
              <w:t xml:space="preserve">Высокая при росте системы</w:t>
            </w:r>
            <w:r>
              <w:rPr>
                <w:color w:val="1f1f1f"/>
                <w:sz w:val="24"/>
              </w:rPr>
            </w:r>
          </w:p>
        </w:tc>
        <w:tc>
          <w:tcPr>
            <w:shd w:val="clear" w:color="auto" w:fill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bottom w:w="240" w:type="dxa"/>
            </w:tcMar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240" w:before="240" w:line="240" w:lineRule="auto"/>
              <w:ind w:right="64" w:firstLine="0" w:left="64"/>
              <w:jc w:val="center"/>
              <w:rPr>
                <w:color w:val="1f1f1f"/>
                <w:sz w:val="24"/>
              </w:rPr>
            </w:pPr>
            <w:r>
              <w:rPr>
                <w:color w:val="1f1f1f"/>
                <w:sz w:val="24"/>
                <w:rtl w:val="0"/>
              </w:rPr>
              <w:t xml:space="preserve">Высокая (сложность шины)</w:t>
            </w:r>
            <w:r>
              <w:rPr>
                <w:color w:val="1f1f1f"/>
                <w:sz w:val="24"/>
              </w:rPr>
            </w:r>
          </w:p>
        </w:tc>
        <w:tc>
          <w:tcPr>
            <w:shd w:val="clear" w:color="auto" w:fill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bottom w:w="240" w:type="dxa"/>
            </w:tcMar>
            <w:vAlign w:val="center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240" w:before="240" w:line="240" w:lineRule="auto"/>
              <w:ind w:right="64" w:firstLine="0" w:left="64"/>
              <w:jc w:val="center"/>
              <w:rPr>
                <w:color w:val="1f1f1f"/>
                <w:sz w:val="24"/>
              </w:rPr>
            </w:pPr>
            <w:r>
              <w:rPr>
                <w:color w:val="1f1f1f"/>
                <w:sz w:val="24"/>
                <w:rtl w:val="0"/>
              </w:rPr>
              <w:t xml:space="preserve">Средняя (требует автоматизации)</w:t>
            </w:r>
            <w:r>
              <w:rPr>
                <w:color w:val="1f1f1f"/>
                <w:sz w:val="24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Д</w:t>
      </w:r>
      <w:r>
        <w:t xml:space="preserve">ля реализации системы наибольшим образом подходит микросервисный подход. Данное решение обусловлено необходимостью изоля</w:t>
      </w:r>
      <w:r>
        <w:t xml:space="preserve">ции ресурсоемких процессов обучения нейросетей от критически важных и легковесных модулей сбора метрик и исполнения команд. Это позволяет масштабировать модуль прогнозирования независимо, выделяя ему необходимые вычислительные ресурсы (включая видеопамять </w:t>
      </w:r>
      <w:r>
        <w:t xml:space="preserve">GPU</w:t>
      </w:r>
      <w:r>
        <w:t xml:space="preserve">),</w:t>
      </w:r>
      <w:r>
        <w:t xml:space="preserve"> без </w:t>
      </w:r>
      <w:r>
        <w:t xml:space="preserve">остановки всей системы управления ЖЦ</w:t>
      </w:r>
      <w:r>
        <w:t xml:space="preserve">.</w:t>
      </w:r>
      <w:r/>
    </w:p>
    <w:p>
      <w:pPr>
        <w:pStyle w:val="702"/>
        <w:pBdr/>
        <w:spacing/>
        <w:ind/>
        <w:rPr/>
      </w:pPr>
      <w:r>
        <w:t xml:space="preserve">2.1.2 Описание программных модулей оркестратора</w:t>
      </w:r>
      <w:r/>
    </w:p>
    <w:p>
      <w:pPr>
        <w:pBdr/>
        <w:spacing/>
        <w:ind/>
        <w:rPr/>
      </w:pPr>
      <w:r>
        <w:t xml:space="preserve">Функциональная структура оркестратора </w:t>
      </w:r>
      <w:r>
        <w:t xml:space="preserve">разделена на четыре ключевых модуля, каждый из которых решает узкоспециализированную задачу в рамках общего цикла управления. Для проектирования и интеграции в целевую систему требуется описать принцип работы каждого компонента и их взаимодействия в целом.</w:t>
      </w:r>
      <w:r/>
    </w:p>
    <w:p>
      <w:pPr>
        <w:pStyle w:val="702"/>
        <w:pBdr/>
        <w:spacing/>
        <w:ind/>
        <w:rPr/>
      </w:pPr>
      <w:r>
        <w:t xml:space="preserve">2.1.2.1 Модуль сбора метрик</w:t>
      </w:r>
      <w:r/>
    </w:p>
    <w:p>
      <w:pPr>
        <w:pBdr/>
        <w:spacing/>
        <w:ind/>
        <w:rPr/>
      </w:pPr>
      <w:r>
        <w:t xml:space="preserve">Модуль сбора метрик является источником первичных данных д</w:t>
      </w:r>
      <w:r>
        <w:t xml:space="preserve">ля всей системы. Он получает поток журналов доступа и аппаратных метрик от иерархической СХД. Для этого модуль может периодически опрашивать API мониторинга СХД. После агрегации и приведения к единому вектору состояния модуль сохраняет данные в хранилище в</w:t>
      </w:r>
      <w:r>
        <w:t xml:space="preserve">ременных рядов. Запись производится синхронно через gRPC или REST API, либо асинхронно через брокер сообщений (Kafka, RabbitMQ). Такой подход позволяет отделить интенсивный поток входящих метрик от потребителей — модулей прогнозирования и принятия решений.</w:t>
      </w:r>
      <w:r/>
    </w:p>
    <w:p>
      <w:pPr>
        <w:pStyle w:val="702"/>
        <w:pBdr/>
        <w:spacing/>
        <w:ind/>
        <w:rPr/>
      </w:pPr>
      <w:r>
        <w:t xml:space="preserve">2.1.2.2 Модуль прогнозирования</w:t>
      </w:r>
      <w:r/>
    </w:p>
    <w:p>
      <w:pPr>
        <w:pBdr/>
        <w:spacing/>
        <w:ind/>
        <w:rPr/>
      </w:pPr>
      <w:r>
        <w:t xml:space="preserve">Модуль прогнозирования содержит нейросетевую модель с долгой краткосрочной памятью. Он взаимодействует с хранилищем временных рядов синхронно: по запросу RL-агента или по собственному расписанию загружает ист</w:t>
      </w:r>
      <w:r>
        <w:t xml:space="preserve">орию доступов и вычисляет прогноз вероятности востребованности каждого объекта на заданном горизонте планирования. Для передачи прогноза в RL-агент используется синхронный вызов (gRPC или REST с сериализацией JSON). Такая синхронизация необходима, поскольк</w:t>
      </w:r>
      <w:r>
        <w:t xml:space="preserve">у RL-агент принимает решение в реальном времени на основе актуального прогноза. Периодическое дообучение модели инициируется внешним планировщиком, который вызывает REST API модуля прогнозирования, передавая команду «запустить дообучение на свежих данных».</w:t>
      </w:r>
      <w:r/>
    </w:p>
    <w:p>
      <w:pPr>
        <w:pStyle w:val="702"/>
        <w:pBdr/>
        <w:spacing/>
        <w:ind/>
        <w:rPr/>
      </w:pPr>
      <w:r>
        <w:t xml:space="preserve">2.1.2.3 Модуль принятия решений</w:t>
      </w:r>
      <w:r/>
    </w:p>
    <w:p>
      <w:pPr>
        <w:pBdr/>
        <w:spacing/>
        <w:ind/>
        <w:rPr/>
      </w:pPr>
      <w:r>
        <w:t xml:space="preserve">RL-агент является центральным координ</w:t>
      </w:r>
      <w:r>
        <w:t xml:space="preserve">ирующим узлом. Он получает вектор состояния из двух источников: синхронно читает текущее размещение и свободное место из хранилища временных рядов, параллельно запрашивая прогноз у LSTM. На основе этих входных данных агент вычисляет оптимальное действие в </w:t>
      </w:r>
      <w:r>
        <w:t xml:space="preserve">соответствии с обученной стратегией. Далее RL-агент отправляет рекомендуемое действие в модуль исполнения политик. Для этого также используется синхронный вызов (REST/gRPC), чтобы обеспечить детерминированную последовательность «прогноз-решение-валидация».</w:t>
      </w:r>
      <w:r/>
    </w:p>
    <w:p>
      <w:pPr>
        <w:pBdr/>
        <w:spacing/>
        <w:ind/>
        <w:rPr/>
      </w:pPr>
      <w:r>
        <w:t xml:space="preserve">Важным элементом является канал обратной связи для самообучения агента. После выполнения миграции модуль исполнения политик (или напрямую система хранения) асинхронно отправляет RL-агенту сигнал вознаграждения — данные о </w:t>
      </w:r>
      <w:r>
        <w:t xml:space="preserve">фактических затратах, задержках и успешности операции. Для этого может использоваться брокер сообщений или асинхронный вызов. Асинхронный характер позволяет не блокировать основной поток миграции и накапливать опыт для последующего обновления весов агента.</w:t>
      </w:r>
      <w:r/>
    </w:p>
    <w:p>
      <w:pPr>
        <w:pStyle w:val="702"/>
        <w:pBdr/>
        <w:spacing/>
        <w:ind/>
        <w:rPr/>
      </w:pPr>
      <w:r>
        <w:t xml:space="preserve">2.1.2.4 Модуль исполнения политик</w:t>
      </w:r>
      <w:r/>
    </w:p>
    <w:p>
      <w:pPr>
        <w:pBdr/>
        <w:spacing/>
        <w:ind/>
        <w:rPr/>
      </w:pPr>
      <w:r>
        <w:t xml:space="preserve">Модуль исполнения политик </w:t>
      </w:r>
      <w:r>
        <w:t xml:space="preserve">синхронно </w:t>
      </w:r>
      <w:r>
        <w:t xml:space="preserve">получает рекомендуемое действие от RL-агента и обращается к локальному хранилищу политик, заданных администратором. Проверка происходит синхронно и с минимальной задержкой. Если действие нарушает правило, оно блоки</w:t>
      </w:r>
      <w:r>
        <w:t xml:space="preserve">руется или модифицируется (например, вместо понижения состояние сохраняется). В случае одобрения модуль формирует команду миграции и отправляет её во внешнюю систему хранения данных через её API, передачей идентификатора объекта и целевого уровня хранения.</w:t>
      </w:r>
      <w:r/>
    </w:p>
    <w:p>
      <w:pPr>
        <w:pBdr/>
        <w:spacing/>
        <w:ind/>
        <w:rPr/>
      </w:pPr>
      <w:r>
        <w:t xml:space="preserve">Кроме того, модуль исполнения политик отвечает за сбор обратной</w:t>
      </w:r>
      <w:r>
        <w:t xml:space="preserve"> связи по результатам миграции. Он получает от API СХД статус выполнения, фактические временные затраты и возможные ошибки, после чего публикует сигнал вознаграждения в очередь сообщений для RL-агента — таким образом замыкается контур самообучения системы.</w:t>
      </w:r>
      <w:r/>
    </w:p>
    <w:p>
      <w:pPr>
        <w:pStyle w:val="702"/>
        <w:pBdr/>
        <w:spacing/>
        <w:ind/>
        <w:rPr/>
      </w:pPr>
      <w:r>
        <w:t xml:space="preserve">2.1.3 Описание взаимодействия компонентов</w:t>
      </w:r>
      <w:r/>
    </w:p>
    <w:p>
      <w:pPr>
        <w:pStyle w:val="702"/>
        <w:pBdr/>
        <w:spacing/>
        <w:ind/>
        <w:rPr/>
      </w:pPr>
      <w:r>
        <w:t xml:space="preserve">2.1.3.1 Разработка диаграммы вариантов использования</w:t>
      </w:r>
      <w:r/>
    </w:p>
    <w:p>
      <w:pPr>
        <w:pBdr/>
        <w:spacing/>
        <w:ind/>
        <w:rPr/>
      </w:pPr>
      <w:r>
        <w:t xml:space="preserve">На основе требований, сформированных к функционалу системы интеллектуального оркестратора в п. 1.5, разработана диаграмма Use-Case (Рисунок 2.1), отражающая операции, выполняемые администратором жизненного цикла с помощью оркестратора.</w:t>
      </w:r>
      <w:r/>
    </w:p>
    <w:p>
      <w:pPr>
        <w:pStyle w:val="702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48075" cy="4276725"/>
                <wp:effectExtent l="0" t="0" r="0" b="0"/>
                <wp:docPr id="8" name="Drawing 1775685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5685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3648074" cy="4276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87.25pt;height:336.7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t xml:space="preserve">Рисунок 2.1 — </w:t>
      </w:r>
      <w:r>
        <w:t xml:space="preserve">Диаграмма вариантов использования</w:t>
      </w:r>
      <w:r/>
    </w:p>
    <w:p>
      <w:pPr>
        <w:pStyle w:val="702"/>
        <w:pBdr/>
        <w:spacing/>
        <w:ind/>
        <w:rPr/>
      </w:pPr>
      <w:r>
        <w:t xml:space="preserve">2.1.3.2</w:t>
      </w:r>
      <w:r>
        <w:t xml:space="preserve"> Разработка диаграммы компонентов системы интеллектуального оркестратора</w:t>
      </w:r>
      <w:r>
        <w:t xml:space="preserve"> </w:t>
      </w:r>
      <w:r/>
    </w:p>
    <w:p>
      <w:pPr>
        <w:pBdr/>
        <w:spacing/>
        <w:ind/>
        <w:rPr/>
      </w:pPr>
      <w:r>
        <w:t xml:space="preserve">Логическая структура системы и связи между микросервисами и внешними хранилищами отражены на диаграмме компонентов (Рисунок 2.2), где каждый модуль представлен как независимая единица, взаимодействующая через API.</w:t>
      </w:r>
      <w:r/>
    </w:p>
    <w:p>
      <w:pPr>
        <w:pBdr/>
        <w:spacing/>
        <w:ind/>
        <w:rPr/>
      </w:pPr>
      <w:r>
        <w:t xml:space="preserve">Т</w:t>
      </w:r>
      <w:r>
        <w:t xml:space="preserve">ехническое взаимодействие модулей строится на комбинации синхронных (gRPC/REST) и асинхронных (брокеры сообщений, планировщики) каналов. Хранилище временных рядов служит общей памятью для</w:t>
      </w:r>
      <w:r>
        <w:t xml:space="preserve"> метрик и состояния. Синхронные вызовы обеспечивают низкую задержку при принятии решений, а асинхронные обратные связи и периодическое дообучение позволяют системе адаптироваться к изменяющимся паттернам доступа без ухудшения производительности основного к</w:t>
      </w:r>
      <w:r>
        <w:t xml:space="preserve">онвейера. Предложенная схема является технологически нейтральной и может быть реализована на различных стеках (от микросервисной архитектуры до монолитного приложения с внутрипроцессными вызовами) в зависимости от требований к масштабируемости и задержкам.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439025"/>
                <wp:effectExtent l="0" t="0" r="0" b="0"/>
                <wp:docPr id="9" name="Drawing 1775685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5685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600" cy="7439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585.7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t xml:space="preserve">Рисунок 2.2 — Д</w:t>
      </w:r>
      <w:r>
        <w:t xml:space="preserve">иаграмма компонентов системы интеллектуального оркестратора</w:t>
      </w:r>
      <w:r/>
    </w:p>
    <w:p>
      <w:pPr>
        <w:pStyle w:val="701"/>
        <w:pBdr/>
        <w:spacing/>
        <w:ind/>
        <w:rPr/>
      </w:pPr>
      <w:r>
        <w:t xml:space="preserve">2.2 </w:t>
      </w:r>
      <w:r>
        <w:t xml:space="preserve">Проектирование алгоритмов управления ЖЦ данных</w:t>
      </w:r>
      <w:r/>
    </w:p>
    <w:p>
      <w:pPr>
        <w:pBdr/>
        <w:spacing/>
        <w:ind/>
        <w:rPr/>
      </w:pPr>
      <w:r>
        <w:t xml:space="preserve">Алгоритмическое обеспечение системы строится на интеграции методов предиктивной аналитики и теории управления. В данном подразделе описывается логическая последовательность работы системы и её математическое обоснование.</w:t>
      </w:r>
      <w:r/>
    </w:p>
    <w:p>
      <w:pPr>
        <w:pStyle w:val="702"/>
        <w:pBdr/>
        <w:spacing/>
        <w:ind/>
        <w:rPr/>
      </w:pPr>
      <w:r>
        <w:t xml:space="preserve">2.2.1 Алгоритм работы оркестратора</w:t>
      </w:r>
      <w:r/>
    </w:p>
    <w:p>
      <w:pPr>
        <w:pBdr/>
        <w:spacing/>
        <w:ind/>
        <w:rPr/>
      </w:pPr>
      <w:r>
        <w:t xml:space="preserve">Общий</w:t>
      </w:r>
      <w:r>
        <w:t xml:space="preserve"> цикл функционирования системы представляет собой непрерывный процесс мониторинга и корректировки размещения данных. На Рисунке 2.3 представлена блок-схема общего алгоритма.</w:t>
      </w:r>
      <w:r/>
    </w:p>
    <w:p>
      <w:pPr>
        <w:pStyle w:val="702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95700" cy="5257800"/>
                <wp:effectExtent l="0" t="0" r="0" b="0"/>
                <wp:docPr id="10" name="Drawing 1775685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5685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3695700" cy="5257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91.00pt;height:414.0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t xml:space="preserve">Рисунок 2.3 — Алгоритм работы оркестратора</w:t>
      </w:r>
      <w:r/>
    </w:p>
    <w:p>
      <w:pPr>
        <w:pStyle w:val="702"/>
        <w:pBdr/>
        <w:spacing/>
        <w:ind/>
        <w:rPr/>
      </w:pPr>
      <w:r>
        <w:t xml:space="preserve">2.2.2 </w:t>
      </w:r>
      <w:r>
        <w:t xml:space="preserve">Математическая модель принятия решений</w:t>
      </w:r>
      <w:r/>
    </w:p>
    <w:p>
      <w:pPr>
        <w:pBdr/>
        <w:spacing w:line="360" w:lineRule="auto"/>
        <w:ind/>
        <w:rPr/>
      </w:pPr>
      <w:r>
        <w:t xml:space="preserve">Проектирование интеллектуальной системы требует строгой математической постановки</w:t>
      </w:r>
      <w:r>
        <w:t xml:space="preserve"> задачи размещения данных как многокритериальной оптимизации в динамической среде.</w:t>
      </w:r>
      <w:r/>
    </w:p>
    <w:p>
      <w:pPr>
        <w:pStyle w:val="702"/>
        <w:pBdr/>
        <w:spacing w:line="360" w:lineRule="auto"/>
        <w:ind/>
        <w:rPr/>
      </w:pPr>
      <w:r>
        <w:t xml:space="preserve">2.1.</w:t>
      </w:r>
      <w:r>
        <w:t xml:space="preserve">1 Определение целевой функции совокупных затрат</w:t>
      </w:r>
      <w:r/>
    </w:p>
    <w:p>
      <w:pPr>
        <w:pBdr/>
        <w:spacing w:line="360" w:lineRule="auto"/>
        <w:ind/>
        <w:rPr/>
      </w:pPr>
      <w:r>
        <w:t xml:space="preserve">Пусть в системе имеется множество информационных объектов D = {d</w:t>
      </w:r>
      <w:r>
        <w:rPr>
          <w:vertAlign w:val="subscript"/>
        </w:rPr>
        <w:t xml:space="preserve">1</w:t>
      </w:r>
      <w:r>
        <w:t xml:space="preserve">, d</w:t>
      </w:r>
      <w:r>
        <w:rPr>
          <w:vertAlign w:val="subscript"/>
        </w:rPr>
        <w:t xml:space="preserve">2</w:t>
      </w:r>
      <w:r>
        <w:t xml:space="preserve">, ..., d</w:t>
      </w:r>
      <w:r>
        <w:rPr>
          <w:vertAlign w:val="subscript"/>
        </w:rPr>
        <w:t xml:space="preserve">n</w:t>
      </w:r>
      <w:r>
        <w:t xml:space="preserve">} и набор доступных уровней хранения L = {l</w:t>
      </w:r>
      <w:r>
        <w:rPr>
          <w:vertAlign w:val="subscript"/>
        </w:rPr>
        <w:t xml:space="preserve">1</w:t>
      </w:r>
      <w:r>
        <w:t xml:space="preserve">, l</w:t>
      </w:r>
      <w:r>
        <w:rPr>
          <w:vertAlign w:val="subscript"/>
        </w:rPr>
        <w:t xml:space="preserve">2</w:t>
      </w:r>
      <w:r>
        <w:t xml:space="preserve">, ..., l</w:t>
      </w:r>
      <w:r>
        <w:rPr>
          <w:vertAlign w:val="subscript"/>
        </w:rPr>
        <w:t xml:space="preserve">k</w:t>
      </w:r>
      <w:r>
        <w:t xml:space="preserve">}. Каждый объект d</w:t>
      </w:r>
      <w:r>
        <w:rPr>
          <w:vertAlign w:val="subscript"/>
        </w:rPr>
        <w:t xml:space="preserve">i </w:t>
      </w:r>
      <w:r>
        <w:t xml:space="preserve">характеризуется объёмом S</w:t>
      </w:r>
      <w:r>
        <w:rPr>
          <w:vertAlign w:val="subscript"/>
        </w:rPr>
        <w:t xml:space="preserve">i</w:t>
      </w:r>
      <w:r>
        <w:rPr>
          <w:vertAlign w:val="subscript"/>
        </w:rPr>
        <w:t xml:space="preserve"> </w:t>
      </w:r>
      <w:r>
        <w:t xml:space="preserve">и набором (вектором) метаданных, таких как время создания, тип и автор. Состояние системы в момент времени t определяется распределением объектов по уровням l</w:t>
      </w:r>
      <w:r>
        <w:rPr>
          <w:vertAlign w:val="subscript"/>
        </w:rPr>
        <w:t xml:space="preserve">i,t</w:t>
      </w:r>
      <w:r>
        <w:rPr>
          <w:vertAlign w:val="subscript"/>
        </w:rPr>
        <w:t xml:space="preserve"> </w:t>
      </w:r>
      <w:r>
        <w:t xml:space="preserve">, принадлежащим множеству L.</w:t>
      </w:r>
      <w:r/>
    </w:p>
    <w:p>
      <w:pPr>
        <w:pBdr/>
        <w:spacing w:line="360" w:lineRule="auto"/>
        <w:ind/>
        <w:rPr/>
      </w:pPr>
      <w:r>
        <w:t xml:space="preserve">Целью управления является минимизация функции совокупных эксплуатационных затрат C</w:t>
      </w:r>
      <w:r>
        <w:rPr>
          <w:vertAlign w:val="subscript"/>
        </w:rPr>
        <w:t xml:space="preserve">total</w:t>
      </w:r>
      <w:r>
        <w:rPr>
          <w:vertAlign w:val="subscript"/>
        </w:rPr>
        <w:t xml:space="preserve"> </w:t>
      </w:r>
      <w:r>
        <w:t xml:space="preserve">за период T (Формула 1.1).</w:t>
      </w:r>
      <w:r/>
    </w:p>
    <w:p>
      <w:pPr>
        <w:pBdr/>
        <w:spacing w:line="360" w:lineRule="auto"/>
        <w:ind w:firstLine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24500" cy="581025"/>
                <wp:effectExtent l="0" t="0" r="0" b="0"/>
                <wp:docPr id="11" name="Drawing 1775685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5685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524500" cy="581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35.00pt;height:45.7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t xml:space="preserve"> (1.1)</w:t>
      </w:r>
      <w:r/>
    </w:p>
    <w:p>
      <w:pPr>
        <w:pBdr/>
        <w:shd w:val="clear" w:color="auto" w:fill="ffffff"/>
        <w:spacing w:after="165" w:before="0" w:line="360" w:lineRule="auto"/>
        <w:ind w:right="0" w:left="0"/>
        <w:jc w:val="left"/>
        <w:rPr>
          <w:rFonts w:ascii="Noto Serif" w:hAnsi="Noto Serif" w:eastAsia="Noto Serif" w:cs="Noto Serif"/>
          <w:b w:val="0"/>
          <w:i w:val="0"/>
          <w:color w:val="000000"/>
          <w:sz w:val="24"/>
        </w:rPr>
      </w:pPr>
      <w:r>
        <w:rPr>
          <w:rFonts w:ascii="Noto Serif" w:hAnsi="Noto Serif" w:eastAsia="Noto Serif" w:cs="Noto Serif"/>
          <w:b w:val="0"/>
          <w:i w:val="0"/>
          <w:color w:val="000000"/>
          <w:sz w:val="24"/>
        </w:rPr>
        <w:t xml:space="preserve">Здесь:</w:t>
      </w:r>
      <w:r>
        <w:rPr>
          <w:rFonts w:ascii="Noto Serif" w:hAnsi="Noto Serif" w:eastAsia="Noto Serif" w:cs="Noto Serif"/>
          <w:b w:val="0"/>
          <w:i w:val="0"/>
          <w:color w:val="000000"/>
          <w:sz w:val="24"/>
        </w:rPr>
      </w:r>
    </w:p>
    <w:p>
      <w:pPr>
        <w:numPr>
          <w:ilvl w:val="0"/>
          <w:numId w:val="10"/>
        </w:numPr>
        <w:pBdr/>
        <w:shd w:val="clear" w:color="auto" w:fill="ffffff"/>
        <w:spacing w:line="360" w:lineRule="auto"/>
        <w:ind w:firstLine="708" w:left="0"/>
        <w:jc w:val="left"/>
        <w:rPr>
          <w:rFonts w:ascii="Noto Serif" w:hAnsi="Noto Serif" w:eastAsia="Noto Serif" w:cs="Noto Serif"/>
          <w:b w:val="0"/>
          <w:i w:val="0"/>
          <w:color w:val="000000"/>
          <w:sz w:val="24"/>
        </w:rPr>
      </w:pPr>
      <w:r>
        <w:rPr>
          <w:rFonts w:ascii="Noto Serif" w:hAnsi="Noto Serif" w:eastAsia="Noto Serif" w:cs="Noto Serif"/>
          <w:b w:val="0"/>
          <w:i w:val="0"/>
          <w:color w:val="000000"/>
          <w:sz w:val="24"/>
        </w:rPr>
        <w:t xml:space="preserve"> </w:t>
      </w:r>
      <w:r>
        <w:rPr>
          <w:rFonts w:ascii="Noto Serif" w:hAnsi="Noto Serif" w:eastAsia="Noto Serif" w:cs="Noto Serif"/>
          <w:b w:val="0"/>
          <w:i w:val="0"/>
          <w:color w:val="000000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009650" cy="342900"/>
                <wp:effectExtent l="0" t="0" r="0" b="0"/>
                <wp:docPr id="12" name="Drawing 1775685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5685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1009650" cy="342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79.50pt;height:27.0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Noto Serif" w:hAnsi="Noto Serif" w:eastAsia="Noto Serif" w:cs="Noto Serif"/>
          <w:b w:val="0"/>
          <w:i w:val="0"/>
          <w:color w:val="000000"/>
          <w:sz w:val="24"/>
        </w:rPr>
        <w:t xml:space="preserve">— удельная стоимость хранения на уровне l в момент времени t.</w:t>
      </w:r>
      <w:r>
        <w:rPr>
          <w:rFonts w:ascii="Noto Serif" w:hAnsi="Noto Serif" w:eastAsia="Noto Serif" w:cs="Noto Serif"/>
          <w:b w:val="0"/>
          <w:i w:val="0"/>
          <w:color w:val="000000"/>
          <w:sz w:val="24"/>
        </w:rPr>
      </w:r>
    </w:p>
    <w:p>
      <w:pPr>
        <w:numPr>
          <w:ilvl w:val="0"/>
          <w:numId w:val="10"/>
        </w:numPr>
        <w:pBdr/>
        <w:shd w:val="clear" w:color="auto" w:fill="ffffff"/>
        <w:spacing w:line="360" w:lineRule="auto"/>
        <w:ind w:firstLine="708" w:left="0"/>
        <w:jc w:val="left"/>
        <w:rPr>
          <w:rFonts w:ascii="Noto Serif" w:hAnsi="Noto Serif" w:eastAsia="Noto Serif" w:cs="Noto Serif"/>
          <w:b w:val="0"/>
          <w:i w:val="0"/>
          <w:color w:val="000000"/>
          <w:sz w:val="24"/>
        </w:rPr>
      </w:pPr>
      <w:r>
        <w:rPr>
          <w:rFonts w:ascii="Noto Serif" w:hAnsi="Noto Serif" w:eastAsia="Noto Serif" w:cs="Noto Serif"/>
          <w:b w:val="0"/>
          <w:i w:val="0"/>
          <w:color w:val="000000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085850" cy="266700"/>
                <wp:effectExtent l="0" t="0" r="0" b="0"/>
                <wp:docPr id="13" name="Drawing 1775685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5685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1085850" cy="266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85.50pt;height:21.0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Noto Serif" w:hAnsi="Noto Serif" w:eastAsia="Noto Serif" w:cs="Noto Serif"/>
          <w:b w:val="0"/>
          <w:i w:val="0"/>
          <w:color w:val="000000"/>
          <w:sz w:val="24"/>
        </w:rPr>
        <w:t xml:space="preserve"> </w:t>
      </w:r>
      <w:r>
        <w:rPr>
          <w:rFonts w:ascii="Noto Serif" w:hAnsi="Noto Serif" w:eastAsia="Noto Serif" w:cs="Noto Serif"/>
          <w:b w:val="0"/>
          <w:i w:val="0"/>
          <w:color w:val="000000"/>
          <w:sz w:val="24"/>
        </w:rPr>
        <w:t xml:space="preserve">— индикатор перемещения (миграции) объекта</w:t>
      </w:r>
      <w:r>
        <w:rPr>
          <w:rFonts w:ascii="Noto Serif" w:hAnsi="Noto Serif" w:eastAsia="Noto Serif" w:cs="Noto Serif"/>
          <w:b w:val="0"/>
          <w:i w:val="0"/>
          <w:color w:val="000000"/>
          <w:sz w:val="24"/>
        </w:rPr>
        <w:t xml:space="preserve"> </w:t>
      </w:r>
      <w:r>
        <w:rPr>
          <w:rFonts w:ascii="Noto Serif" w:hAnsi="Noto Serif" w:eastAsia="Noto Serif" w:cs="Noto Serif"/>
          <w:b w:val="0"/>
          <w:i w:val="0"/>
          <w:color w:val="000000"/>
          <w:sz w:val="24"/>
        </w:rPr>
        <w:t xml:space="preserve"> </w:t>
      </w:r>
      <w:r>
        <w:rPr>
          <w:rFonts w:ascii="Noto Serif" w:hAnsi="Noto Serif" w:eastAsia="Noto Serif" w:cs="Noto Serif"/>
          <w:b w:val="0"/>
          <w:i w:val="0"/>
          <w:color w:val="000000"/>
          <w:sz w:val="24"/>
        </w:rPr>
        <w:t xml:space="preserve">между уровнями.</w:t>
      </w:r>
      <w:r>
        <w:rPr>
          <w:rFonts w:ascii="Noto Serif" w:hAnsi="Noto Serif" w:eastAsia="Noto Serif" w:cs="Noto Serif"/>
          <w:b w:val="0"/>
          <w:i w:val="0"/>
          <w:color w:val="000000"/>
          <w:sz w:val="24"/>
        </w:rPr>
      </w:r>
    </w:p>
    <w:p>
      <w:pPr>
        <w:numPr>
          <w:ilvl w:val="0"/>
          <w:numId w:val="10"/>
        </w:numPr>
        <w:pBdr/>
        <w:shd w:val="clear" w:color="auto" w:fill="ffffff"/>
        <w:spacing w:line="360" w:lineRule="auto"/>
        <w:ind w:firstLine="708" w:left="0"/>
        <w:jc w:val="left"/>
        <w:rPr>
          <w:rFonts w:ascii="Noto Serif" w:hAnsi="Noto Serif" w:eastAsia="Noto Serif" w:cs="Noto Serif"/>
          <w:b w:val="0"/>
          <w:i w:val="0"/>
          <w:color w:val="000000"/>
          <w:sz w:val="24"/>
        </w:rPr>
      </w:pPr>
      <w:r>
        <w:rPr>
          <w:rFonts w:ascii="Noto Serif" w:hAnsi="Noto Serif" w:eastAsia="Noto Serif" w:cs="Noto Serif"/>
          <w:b w:val="0"/>
          <w:i w:val="0"/>
          <w:color w:val="000000"/>
          <w:sz w:val="24"/>
        </w:rPr>
        <w:t xml:space="preserve"> </w:t>
      </w:r>
      <w:r>
        <w:rPr>
          <w:rFonts w:ascii="Noto Serif" w:hAnsi="Noto Serif" w:eastAsia="Noto Serif" w:cs="Noto Serif"/>
          <w:b w:val="0"/>
          <w:i w:val="0"/>
          <w:color w:val="000000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847725" cy="266700"/>
                <wp:effectExtent l="0" t="0" r="0" b="0"/>
                <wp:docPr id="14" name="Drawing 1775685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5685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847725" cy="266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66.75pt;height:21.0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Noto Serif" w:hAnsi="Noto Serif" w:eastAsia="Noto Serif" w:cs="Noto Serif"/>
          <w:b w:val="0"/>
          <w:i w:val="0"/>
          <w:color w:val="000000"/>
          <w:sz w:val="24"/>
        </w:rPr>
        <w:t xml:space="preserve">— стоимость ресурсов (CPU, IOPS, Network), затрачиваемых на миграцию.</w:t>
      </w:r>
      <w:r>
        <w:rPr>
          <w:rFonts w:ascii="Noto Serif" w:hAnsi="Noto Serif" w:eastAsia="Noto Serif" w:cs="Noto Serif"/>
          <w:b w:val="0"/>
          <w:i w:val="0"/>
          <w:color w:val="000000"/>
          <w:sz w:val="24"/>
        </w:rPr>
      </w:r>
    </w:p>
    <w:p>
      <w:pPr>
        <w:numPr>
          <w:ilvl w:val="0"/>
          <w:numId w:val="10"/>
        </w:numPr>
        <w:pBdr/>
        <w:shd w:val="clear" w:color="auto" w:fill="ffffff"/>
        <w:spacing w:line="360" w:lineRule="auto"/>
        <w:ind w:firstLine="708" w:left="0"/>
        <w:jc w:val="left"/>
        <w:rPr>
          <w:rFonts w:ascii="Noto Serif" w:hAnsi="Noto Serif" w:eastAsia="Noto Serif" w:cs="Noto Serif"/>
          <w:b w:val="0"/>
          <w:i w:val="0"/>
          <w:color w:val="000000"/>
          <w:sz w:val="24"/>
        </w:rPr>
      </w:pPr>
      <w:r>
        <w:rPr>
          <w:rFonts w:ascii="Noto Serif" w:hAnsi="Noto Serif" w:eastAsia="Noto Serif" w:cs="Noto Serif"/>
          <w:b w:val="0"/>
          <w:i w:val="0"/>
          <w:color w:val="000000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352550" cy="304800"/>
                <wp:effectExtent l="0" t="0" r="0" b="0"/>
                <wp:docPr id="15" name="Drawing 1775685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5685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1352550" cy="30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106.50pt;height:24.0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Noto Serif" w:hAnsi="Noto Serif" w:eastAsia="Noto Serif" w:cs="Noto Serif"/>
          <w:b w:val="0"/>
          <w:i w:val="0"/>
          <w:color w:val="000000"/>
          <w:sz w:val="24"/>
        </w:rPr>
        <w:t xml:space="preserve"> </w:t>
      </w:r>
      <w:r>
        <w:rPr>
          <w:rFonts w:ascii="Noto Serif" w:hAnsi="Noto Serif" w:eastAsia="Noto Serif" w:cs="Noto Serif"/>
          <w:b w:val="0"/>
          <w:i w:val="0"/>
          <w:color w:val="000000"/>
          <w:sz w:val="24"/>
        </w:rPr>
        <w:t xml:space="preserve">—</w:t>
      </w:r>
      <w:r>
        <w:rPr>
          <w:rFonts w:ascii="Noto Serif" w:hAnsi="Noto Serif" w:eastAsia="Noto Serif" w:cs="Noto Serif"/>
          <w:b w:val="0"/>
          <w:i w:val="0"/>
          <w:color w:val="000000"/>
          <w:sz w:val="24"/>
        </w:rPr>
        <w:t xml:space="preserve"> штрафная функция за задержку доступа, определяемая как:</w:t>
      </w:r>
      <w:r>
        <w:rPr>
          <w:rFonts w:ascii="Noto Serif" w:hAnsi="Noto Serif" w:eastAsia="Noto Serif" w:cs="Noto Serif"/>
          <w:b w:val="0"/>
          <w:i w:val="0"/>
          <w:color w:val="000000"/>
          <w:sz w:val="24"/>
        </w:rPr>
      </w:r>
    </w:p>
    <w:p>
      <w:pPr>
        <w:pBdr/>
        <w:spacing w:line="360" w:lineRule="auto"/>
        <w:ind/>
        <w:rPr/>
      </w:pPr>
      <w:r>
        <w:rPr>
          <w:rFonts w:ascii="Noto Serif" w:hAnsi="Noto Serif" w:eastAsia="Noto Serif" w:cs="Noto Serif"/>
          <w:b w:val="0"/>
          <w:i w:val="0"/>
          <w:color w:val="000000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53050" cy="504825"/>
                <wp:effectExtent l="0" t="0" r="0" b="0"/>
                <wp:docPr id="16" name="Drawing 1775685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5685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353050" cy="504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21.50pt;height:39.75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t xml:space="preserve">,</w:t>
      </w:r>
      <w:r/>
    </w:p>
    <w:p>
      <w:pPr>
        <w:pBdr/>
        <w:spacing w:line="360" w:lineRule="auto"/>
        <w:ind/>
        <w:rPr/>
      </w:pPr>
      <w:r>
        <w:t xml:space="preserve">где P</w:t>
      </w:r>
      <w:r>
        <w:rPr>
          <w:vertAlign w:val="subscript"/>
        </w:rPr>
        <w:t xml:space="preserve">SLA</w:t>
      </w:r>
      <w:r>
        <w:t xml:space="preserve"> </w:t>
      </w:r>
      <w:r>
        <w:t xml:space="preserve">— </w:t>
      </w:r>
      <w:r>
        <w:t xml:space="preserve"> коэффициент штрафа за нарушение соглашения об уровне</w:t>
      </w:r>
      <w:r/>
    </w:p>
    <w:p>
      <w:pPr>
        <w:pBdr/>
        <w:spacing w:line="360" w:lineRule="auto"/>
        <w:ind w:firstLine="0"/>
        <w:rPr/>
      </w:pPr>
      <w:r>
        <w:t xml:space="preserve">обслуживания</w:t>
      </w:r>
      <w:r>
        <w:t xml:space="preserve">.</w:t>
      </w:r>
      <w:r/>
    </w:p>
    <w:p>
      <w:pPr>
        <w:pBdr/>
        <w:spacing w:line="360" w:lineRule="auto"/>
        <w:ind/>
        <w:rPr/>
      </w:pPr>
      <w:r>
        <w:t xml:space="preserve">Данная модель позволяет системе принимать взвешенные решения: перемещение</w:t>
      </w:r>
      <w:r>
        <w:t xml:space="preserve"> данных на холодный уровень экономит средства на хранении, но повышает риск высоких</w:t>
      </w:r>
      <w:r>
        <w:t xml:space="preserve"> штрафов при внезапном запросе этих данных.</w:t>
      </w:r>
      <w:r/>
    </w:p>
    <w:p>
      <w:pPr>
        <w:pStyle w:val="702"/>
        <w:pBdr/>
        <w:spacing w:line="360" w:lineRule="auto"/>
        <w:ind/>
        <w:rPr/>
      </w:pPr>
      <w:r>
        <w:t xml:space="preserve">2.1</w:t>
      </w:r>
      <w:r>
        <w:t xml:space="preserve">.2 Применение теории Марковских процессов принятия</w:t>
      </w:r>
      <w:r>
        <w:t xml:space="preserve"> решений</w:t>
      </w:r>
      <w:r/>
    </w:p>
    <w:p>
      <w:pPr>
        <w:pBdr/>
        <w:spacing w:line="360" w:lineRule="auto"/>
        <w:ind/>
        <w:rPr/>
      </w:pPr>
      <w:r>
        <w:t xml:space="preserve">Марковский процесс принятия решений (MDP) </w:t>
      </w:r>
      <w:r>
        <w:t xml:space="preserve">представляет собой математическую модель, предназначенную для анализа ситуаций, где результаты зависят как от случайных факторов, так и от действий лица, принимающего решения.</w:t>
      </w:r>
      <w:r/>
    </w:p>
    <w:p>
      <w:pPr>
        <w:pBdr/>
        <w:spacing w:line="360" w:lineRule="auto"/>
        <w:ind/>
        <w:rPr/>
      </w:pPr>
      <w:r>
        <w:t xml:space="preserve">Е</w:t>
      </w:r>
      <w:r>
        <w:t xml:space="preserve">ё можно представить как цикл взаимодействия агента с окружением, включающий пять компонентов: состояние, действие, вероятность перехода, вознаграждение и коэффициент дисконтирования. Состояние описывает текущую ситуацию </w:t>
      </w:r>
      <w:r>
        <w:t xml:space="preserve">или конфигурацию окружающей среды</w:t>
      </w:r>
      <w:r>
        <w:t xml:space="preserve">, действие — возможные ходы </w:t>
      </w:r>
      <w:r>
        <w:t xml:space="preserve">или выборы</w:t>
      </w:r>
      <w:r>
        <w:t xml:space="preserve"> (определяется дискретность или непрерывность пространства действи</w:t>
      </w:r>
      <w:r>
        <w:t xml:space="preserve">й), вероятность перехода </w:t>
      </w:r>
      <w:r>
        <w:t xml:space="preserve">устанавливает возможность перехода из одного состояния в другое после выполнения определенного действия</w:t>
      </w:r>
      <w:r>
        <w:t xml:space="preserve">, вознаграждение оценивает результат (положительные значения — поощряют, отрицательные — штрафуют), а коэффициент дисконтирования определяет значимость будущих вознаграждений по сравнению с текущими для долгосрочного планирования действий.</w:t>
      </w:r>
      <w:r>
        <w:t xml:space="preserve"> В совокупности эти компоненты позволяют MDP эффективно моделировать и анализировать поведение агентов в сложных и неопределенных средах.</w:t>
      </w:r>
      <w:r/>
    </w:p>
    <w:p>
      <w:pPr>
        <w:pBdr/>
        <w:spacing w:line="360" w:lineRule="auto"/>
        <w:ind/>
        <w:rPr/>
      </w:pPr>
      <w:r>
        <w:t xml:space="preserve">Рассматриваемая проблема миграции данных</w:t>
      </w:r>
      <w:r>
        <w:t xml:space="preserve"> является подходящим объектом для применения парадигмы обучения с подкреплением (Reinforcement Learning, RL). Она может быть формализована как Марковский процесс</w:t>
      </w:r>
      <w:r>
        <w:t xml:space="preserve"> принятия решений, принимающий на вход вектор (S, A</w:t>
      </w:r>
      <w:r>
        <w:t xml:space="preserve">, P, R, </w:t>
      </w:r>
      <w:r>
        <w:t xml:space="preserve">γ</w:t>
      </w:r>
      <w:r>
        <w:t xml:space="preserve"> </w:t>
      </w:r>
      <w:r>
        <w:t xml:space="preserve">):</w:t>
      </w:r>
      <w:r/>
    </w:p>
    <w:p>
      <w:pPr>
        <w:pBdr/>
        <w:spacing w:line="360" w:lineRule="auto"/>
        <w:ind/>
        <w:rPr/>
      </w:pPr>
      <w:r>
        <w:t xml:space="preserve">1.​ Состояния (S) включают текущую заполненность тиров, нагрузку на шину данных и</w:t>
      </w:r>
      <w:r>
        <w:t xml:space="preserve"> предсказанную «температуру» (частоту обращений) объектов на основе анализа</w:t>
      </w:r>
      <w:r>
        <w:t xml:space="preserve"> временных рядов.</w:t>
      </w:r>
      <w:r/>
    </w:p>
    <w:p>
      <w:pPr>
        <w:pBdr/>
        <w:spacing w:line="360" w:lineRule="auto"/>
        <w:ind/>
        <w:rPr/>
      </w:pPr>
      <w:r>
        <w:t xml:space="preserve">2.​ Действия (A) - возможные операции: Promotion (подъем на более быстрый уровень),</w:t>
      </w:r>
      <w:r>
        <w:t xml:space="preserve"> Demotion (спуск на уровень медленнее) и Stay (сохранение положения).</w:t>
      </w:r>
      <w:r/>
    </w:p>
    <w:p>
      <w:pPr>
        <w:pBdr/>
        <w:spacing w:line="360" w:lineRule="auto"/>
        <w:ind/>
        <w:rPr/>
      </w:pPr>
      <w:r>
        <w:t xml:space="preserve">3.​ Функция переходов (P) определяет вероятность перехода системы в новое состояние. В</w:t>
      </w:r>
      <w:r>
        <w:t xml:space="preserve"> системах хранения она носит стохастический характер, так как зависит от</w:t>
      </w:r>
      <w:r>
        <w:t xml:space="preserve"> непредсказуемого поведения пользователей.</w:t>
      </w:r>
      <w:r/>
    </w:p>
    <w:p>
      <w:pPr>
        <w:pBdr/>
        <w:spacing w:line="360" w:lineRule="auto"/>
        <w:ind/>
        <w:rPr/>
      </w:pPr>
      <w:r>
        <w:t xml:space="preserve">4.​ Вознаграждение (R) вычисляется на каждом шаге. Агент стремится</w:t>
      </w:r>
      <w:r>
        <w:t xml:space="preserve"> максимизировать накопленное вознаграждение в долгосрочной перспективе.</w:t>
      </w:r>
      <w:r/>
    </w:p>
    <w:p>
      <w:pPr>
        <w:pBdr/>
        <w:spacing/>
        <w:ind w:firstLine="0"/>
        <w:rPr/>
      </w:pPr>
      <w:r>
        <w:t xml:space="preserve">5.​ Коэффициент дисконтирования (</w:t>
      </w:r>
      <w:r>
        <w:t xml:space="preserve">γ</w:t>
      </w:r>
      <w:r>
        <w:t xml:space="preserve">) принимает значение отношения между немедленной выгодой и</w:t>
      </w:r>
      <w:r>
        <w:t xml:space="preserve"> будущими затратами. В задачах DLM </w:t>
      </w:r>
      <w:r>
        <w:t xml:space="preserve"> выбирается близким к 1, что</w:t>
      </w:r>
      <w:r>
        <w:t xml:space="preserve"> заставляет систему учитывать долгосрочные последствия текущих миграций.</w:t>
      </w:r>
      <w:r/>
    </w:p>
    <w:p>
      <w:pPr>
        <w:pStyle w:val="701"/>
        <w:pBdr/>
        <w:spacing/>
        <w:ind/>
        <w:rPr/>
      </w:pPr>
      <w:r>
        <w:t xml:space="preserve">2.3 Проектирование макета целевой системы</w:t>
      </w:r>
      <w:r/>
    </w:p>
    <w:p>
      <w:pPr>
        <w:pBdr/>
        <w:spacing/>
        <w:ind/>
        <w:rPr/>
      </w:pPr>
      <w:r/>
      <w:r/>
    </w:p>
    <w:p>
      <w:pPr>
        <w:pStyle w:val="702"/>
        <w:pBdr/>
        <w:spacing/>
        <w:ind/>
        <w:rPr/>
      </w:pPr>
      <w:r>
        <w:t xml:space="preserve">2.3.1 </w:t>
      </w:r>
      <w:r>
        <w:t xml:space="preserve">Описание окружающей среды</w:t>
      </w:r>
      <w:r/>
    </w:p>
    <w:p>
      <w:pPr>
        <w:pBdr/>
        <w:spacing/>
        <w:ind/>
        <w:rPr/>
      </w:pPr>
      <w:r/>
      <w:r/>
    </w:p>
    <w:p>
      <w:pPr>
        <w:pStyle w:val="702"/>
        <w:pBdr/>
        <w:spacing/>
        <w:ind/>
        <w:rPr/>
      </w:pPr>
      <w:r>
        <w:t xml:space="preserve">2.3.2 Диаграмма </w:t>
      </w:r>
      <w:r/>
    </w:p>
    <w:p>
      <w:pPr>
        <w:pBdr/>
        <w:spacing/>
        <w:ind/>
        <w:rPr/>
      </w:pPr>
      <w:r/>
      <w:r/>
    </w:p>
    <w:p>
      <w:pPr>
        <w:pStyle w:val="701"/>
        <w:pBdr/>
        <w:spacing/>
        <w:ind/>
        <w:rPr/>
      </w:pPr>
      <w:r>
        <w:t xml:space="preserve">2.4 </w:t>
      </w:r>
      <w:r>
        <w:t xml:space="preserve">Проектирование интерфейса администратора ЖЦ</w:t>
      </w:r>
      <w:r/>
    </w:p>
    <w:p>
      <w:pPr>
        <w:pBdr/>
        <w:spacing/>
        <w:ind/>
        <w:rPr/>
      </w:pPr>
      <w:r/>
      <w:r/>
    </w:p>
    <w:p>
      <w:pPr>
        <w:pStyle w:val="702"/>
        <w:pBdr/>
        <w:spacing/>
        <w:ind/>
        <w:rPr/>
      </w:pPr>
      <w:r>
        <w:t xml:space="preserve">2.4.1 </w:t>
      </w:r>
      <w:r>
        <w:t xml:space="preserve">Структура и функциональные зоны интерфейса</w:t>
      </w:r>
      <w:r/>
    </w:p>
    <w:p>
      <w:pPr>
        <w:pBdr/>
        <w:spacing/>
        <w:ind/>
        <w:rPr/>
      </w:pPr>
      <w:r/>
      <w:r/>
    </w:p>
    <w:p>
      <w:pPr>
        <w:pStyle w:val="702"/>
        <w:pBdr/>
        <w:spacing/>
        <w:ind/>
        <w:rPr/>
      </w:pPr>
      <w:r>
        <w:t xml:space="preserve">2.4.2 </w:t>
      </w:r>
      <w:r>
        <w:t xml:space="preserve">Проектирование программного интерфейса (API)</w:t>
      </w:r>
      <w:r/>
    </w:p>
    <w:p>
      <w:pPr>
        <w:pStyle w:val="701"/>
        <w:pBdr/>
        <w:spacing/>
        <w:ind/>
        <w:rPr/>
      </w:pPr>
      <w:r/>
      <w:r/>
    </w:p>
    <w:p>
      <w:pPr>
        <w:pStyle w:val="701"/>
        <w:pBdr/>
        <w:spacing/>
        <w:ind/>
        <w:rPr/>
      </w:pPr>
      <w:r>
        <w:t xml:space="preserve">2.5 Вывод по проектному разделу</w:t>
      </w:r>
      <w:r/>
    </w:p>
    <w:p>
      <w:pPr>
        <w:pBdr/>
        <w:spacing/>
        <w:ind/>
        <w:rPr/>
      </w:pPr>
      <w:r>
        <w:t xml:space="preserve">В результате проектирования была разработана микросервисная архитектура интеллектуального оркестратора, обеспечивающая изоляцию критических процессов сбора метрик и принятия решений. </w:t>
      </w:r>
      <w:r/>
    </w:p>
    <w:p>
      <w:pPr>
        <w:pBdr/>
        <w:spacing/>
        <w:ind/>
        <w:rPr/>
      </w:pPr>
      <w:r>
        <w:t xml:space="preserve">Математическая формализация задачи в виде минимизации функции затрат позволила спроектировать алгоритм на базе синтеза LSTM и RL, способный к проактивному управлению. </w:t>
      </w:r>
      <w:r/>
    </w:p>
    <w:p>
      <w:pPr>
        <w:pBdr/>
        <w:spacing/>
        <w:ind/>
        <w:rPr/>
      </w:pPr>
      <w:r>
        <w:t xml:space="preserve">Спроектированный макет</w:t>
      </w:r>
      <w:r>
        <w:t xml:space="preserve"> подтверждает возможность практической реализации системы</w:t>
      </w:r>
      <w:r>
        <w:t xml:space="preserve">, а предложенная структура интерфейса и API обеспечивает удобство администрирования жизненного цикла данных в высоконагруженных медиа-системах.</w:t>
      </w:r>
      <w:r/>
    </w:p>
    <w:sectPr>
      <w:footnotePr/>
      <w:endnotePr/>
      <w:type w:val="nextPage"/>
      <w:pgSz w:h="16840" w:orient="portrait" w:w="11907"/>
      <w:pgMar w:top="1134" w:right="851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erif">
    <w:panose1 w:val="02020502060505020204"/>
  </w:font>
  <w:font w:name="Times New Roman">
    <w:panose1 w:val="02020603050405020304"/>
  </w:font>
  <w:font w:name="PT Astra Serif">
    <w:panose1 w:val="020B0603030804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2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3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6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7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</w:num>
  <w:num w:numId="2">
    <w:abstractNumId w:val="17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  <w:num w:numId="16">
    <w:abstractNumId w:val="14"/>
  </w:num>
  <w:num w:numId="17">
    <w:abstractNumId w:val="15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Times New Roman" w:cs="Arial"/>
        <w:sz w:val="22"/>
        <w:szCs w:val="22"/>
        <w:lang w:val="ru-RU" w:eastAsia="zh-CN" w:bidi="ar-SA"/>
        <w14:ligatures w14:val="standardContextual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708"/>
    <w:next w:val="70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08"/>
    <w:next w:val="70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08"/>
    <w:next w:val="70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08"/>
    <w:next w:val="70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08"/>
    <w:next w:val="70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08"/>
    <w:next w:val="70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09"/>
    <w:link w:val="7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09"/>
    <w:link w:val="7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09"/>
    <w:link w:val="7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09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09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09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0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0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0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09"/>
    <w:link w:val="70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09"/>
    <w:link w:val="70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08"/>
    <w:next w:val="70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0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0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0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08"/>
    <w:next w:val="70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0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0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0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0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0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0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0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0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0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09"/>
    <w:link w:val="176"/>
    <w:uiPriority w:val="99"/>
    <w:pPr>
      <w:pBdr/>
      <w:spacing/>
      <w:ind/>
    </w:pPr>
  </w:style>
  <w:style w:type="paragraph" w:styleId="178">
    <w:name w:val="Footer"/>
    <w:basedOn w:val="70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09"/>
    <w:link w:val="178"/>
    <w:uiPriority w:val="99"/>
    <w:pPr>
      <w:pBdr/>
      <w:spacing/>
      <w:ind/>
    </w:pPr>
  </w:style>
  <w:style w:type="paragraph" w:styleId="180">
    <w:name w:val="Caption"/>
    <w:basedOn w:val="708"/>
    <w:next w:val="70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0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9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0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8"/>
    <w:next w:val="708"/>
    <w:uiPriority w:val="39"/>
    <w:unhideWhenUsed/>
    <w:pPr>
      <w:pBdr/>
      <w:spacing w:after="100"/>
      <w:ind/>
    </w:pPr>
  </w:style>
  <w:style w:type="paragraph" w:styleId="190">
    <w:name w:val="toc 2"/>
    <w:basedOn w:val="708"/>
    <w:next w:val="708"/>
    <w:uiPriority w:val="39"/>
    <w:unhideWhenUsed/>
    <w:pPr>
      <w:pBdr/>
      <w:spacing w:after="100"/>
      <w:ind w:left="220"/>
    </w:pPr>
  </w:style>
  <w:style w:type="paragraph" w:styleId="191">
    <w:name w:val="toc 3"/>
    <w:basedOn w:val="708"/>
    <w:next w:val="708"/>
    <w:uiPriority w:val="39"/>
    <w:unhideWhenUsed/>
    <w:pPr>
      <w:pBdr/>
      <w:spacing w:after="100"/>
      <w:ind w:left="440"/>
    </w:pPr>
  </w:style>
  <w:style w:type="paragraph" w:styleId="192">
    <w:name w:val="toc 4"/>
    <w:basedOn w:val="708"/>
    <w:next w:val="708"/>
    <w:uiPriority w:val="39"/>
    <w:unhideWhenUsed/>
    <w:pPr>
      <w:pBdr/>
      <w:spacing w:after="100"/>
      <w:ind w:left="660"/>
    </w:pPr>
  </w:style>
  <w:style w:type="paragraph" w:styleId="193">
    <w:name w:val="toc 5"/>
    <w:basedOn w:val="708"/>
    <w:next w:val="708"/>
    <w:uiPriority w:val="39"/>
    <w:unhideWhenUsed/>
    <w:pPr>
      <w:pBdr/>
      <w:spacing w:after="100"/>
      <w:ind w:left="880"/>
    </w:pPr>
  </w:style>
  <w:style w:type="paragraph" w:styleId="194">
    <w:name w:val="toc 6"/>
    <w:basedOn w:val="708"/>
    <w:next w:val="708"/>
    <w:uiPriority w:val="39"/>
    <w:unhideWhenUsed/>
    <w:pPr>
      <w:pBdr/>
      <w:spacing w:after="100"/>
      <w:ind w:left="1100"/>
    </w:pPr>
  </w:style>
  <w:style w:type="paragraph" w:styleId="195">
    <w:name w:val="toc 7"/>
    <w:basedOn w:val="708"/>
    <w:next w:val="708"/>
    <w:uiPriority w:val="39"/>
    <w:unhideWhenUsed/>
    <w:pPr>
      <w:pBdr/>
      <w:spacing w:after="100"/>
      <w:ind w:left="1320"/>
    </w:pPr>
  </w:style>
  <w:style w:type="paragraph" w:styleId="196">
    <w:name w:val="toc 8"/>
    <w:basedOn w:val="708"/>
    <w:next w:val="708"/>
    <w:uiPriority w:val="39"/>
    <w:unhideWhenUsed/>
    <w:pPr>
      <w:pBdr/>
      <w:spacing w:after="100"/>
      <w:ind w:left="1540"/>
    </w:pPr>
  </w:style>
  <w:style w:type="paragraph" w:styleId="197">
    <w:name w:val="toc 9"/>
    <w:basedOn w:val="708"/>
    <w:next w:val="70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8"/>
    <w:next w:val="708"/>
    <w:uiPriority w:val="99"/>
    <w:unhideWhenUsed/>
    <w:pPr>
      <w:pBdr/>
      <w:spacing w:after="0" w:afterAutospacing="0"/>
      <w:ind/>
    </w:pPr>
  </w:style>
  <w:style w:type="paragraph" w:styleId="700">
    <w:name w:val="Heading 1"/>
    <w:basedOn w:val="708"/>
    <w:next w:val="708"/>
    <w:semiHidden val="false"/>
    <w:qFormat/>
    <w:pPr>
      <w:pBdr/>
      <w:spacing w:after="0" w:before="0" w:line="276" w:lineRule="auto"/>
      <w:ind w:firstLine="708"/>
      <w:jc w:val="center"/>
    </w:pPr>
    <w:rPr>
      <w:rFonts w:ascii="Times New Roman" w:hAnsi="Times New Roman" w:cs="PT Astra Serif"/>
      <w:b/>
      <w:sz w:val="36"/>
      <w:lang w:val="ru-RU"/>
    </w:rPr>
  </w:style>
  <w:style w:type="paragraph" w:styleId="701">
    <w:name w:val="Heading 2"/>
    <w:basedOn w:val="708"/>
    <w:next w:val="708"/>
    <w:semiHidden val="false"/>
    <w:qFormat/>
    <w:pPr>
      <w:pBdr/>
      <w:spacing w:after="0" w:before="0" w:line="276" w:lineRule="auto"/>
      <w:ind w:firstLine="708"/>
      <w:jc w:val="center"/>
    </w:pPr>
    <w:rPr>
      <w:rFonts w:ascii="Times New Roman" w:hAnsi="Times New Roman" w:cs="PT Astra Serif"/>
      <w:b/>
      <w:sz w:val="32"/>
      <w:lang w:val="ru-RU"/>
    </w:rPr>
  </w:style>
  <w:style w:type="paragraph" w:styleId="702">
    <w:name w:val="Heading 3"/>
    <w:basedOn w:val="708"/>
    <w:next w:val="708"/>
    <w:semiHidden val="false"/>
    <w:qFormat/>
    <w:pPr>
      <w:pBdr/>
      <w:spacing w:after="0" w:before="0" w:line="276" w:lineRule="auto"/>
      <w:ind w:right="0" w:firstLine="707" w:left="0"/>
      <w:jc w:val="center"/>
    </w:pPr>
    <w:rPr>
      <w:rFonts w:ascii="Times New Roman" w:hAnsi="Times New Roman" w:cs="PT Astra Serif"/>
      <w:b/>
      <w:sz w:val="28"/>
      <w:lang w:val="ru-RU"/>
    </w:rPr>
  </w:style>
  <w:style w:type="character" w:styleId="703">
    <w:name w:val="Hyperlink"/>
    <w:uiPriority w:val="99"/>
    <w:semiHidden/>
    <w:unhideWhenUsed/>
    <w:pPr>
      <w:pBdr/>
      <w:spacing/>
      <w:ind/>
    </w:pPr>
    <w:rPr>
      <w:color w:val="2f69c7"/>
      <w:u w:val="single"/>
    </w:rPr>
  </w:style>
  <w:style w:type="table" w:styleId="704" w:default="1">
    <w:name w:val="Normal Table"/>
    <w:pPr>
      <w:pBdr/>
      <w:spacing/>
      <w:ind/>
    </w:pPr>
    <w:tblPr>
      <w:tblCellMar>
        <w:left w:w="99" w:type="dxa"/>
        <w:top w:w="99" w:type="dxa"/>
        <w:right w:w="99" w:type="dxa"/>
        <w:bottom w:w="99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05">
    <w:name w:val="Subtitle"/>
    <w:basedOn w:val="708"/>
    <w:next w:val="708"/>
    <w:qFormat/>
    <w:pPr>
      <w:pBdr/>
      <w:spacing w:afterAutospacing="1"/>
      <w:ind/>
    </w:pPr>
    <w:rPr>
      <w:color w:val="808080"/>
      <w:sz w:val="30"/>
    </w:rPr>
  </w:style>
  <w:style w:type="table" w:styleId="706">
    <w:name w:val="Table Grid"/>
    <w:basedOn w:val="704"/>
    <w:pPr>
      <w:pBdr/>
      <w:spacing/>
      <w:ind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07">
    <w:name w:val="Title"/>
    <w:basedOn w:val="708"/>
    <w:next w:val="708"/>
    <w:qFormat/>
    <w:pPr>
      <w:pBdr/>
      <w:spacing w:afterAutospacing="1"/>
      <w:ind/>
    </w:pPr>
    <w:rPr>
      <w:sz w:val="52"/>
    </w:rPr>
  </w:style>
  <w:style w:type="paragraph" w:styleId="708" w:default="1">
    <w:name w:val="Normal"/>
    <w:qFormat/>
    <w:pPr>
      <w:pBdr/>
      <w:spacing w:line="360" w:lineRule="auto"/>
      <w:ind w:right="0" w:firstLine="707" w:left="0"/>
      <w:jc w:val="both"/>
    </w:pPr>
    <w:rPr>
      <w:rFonts w:ascii="Times New Roman" w:hAnsi="Times New Roman" w:cs="PT Astra Serif"/>
      <w:sz w:val="28"/>
      <w:lang w:val="ru-RU"/>
    </w:rPr>
  </w:style>
  <w:style w:type="character" w:styleId="709" w:default="1">
    <w:name w:val="Default Paragraph Font"/>
    <w:uiPriority w:val="1"/>
    <w:semiHidden/>
    <w:unhideWhenUsed/>
    <w:pPr>
      <w:pBdr/>
      <w:spacing/>
      <w:ind/>
    </w:pPr>
  </w:style>
  <w:style w:type="numbering" w:styleId="710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0000000-0000-0000-0000-0000000000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Аноним</cp:lastModifiedBy>
  <cp:revision>2</cp:revision>
  <dcterms:created xsi:type="dcterms:W3CDTF">2024-11-06T21:43:00Z</dcterms:created>
  <dcterms:modified xsi:type="dcterms:W3CDTF">2026-04-08T21:59:40Z</dcterms:modified>
</cp:coreProperties>
</file>