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</w:pPr>
      <w:r>
        <w:rPr>
          <w:rFonts w:ascii="Times New Roman" w:cs="Times New Roman" w:eastAsia="Times New Roman" w:hAnsi="Times New Roman"/>
        </w:rPr>
        <w:t xml:space="preserve">Вставка в главу 1: сравнение реальных аналогов проектируемой системы</w:t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</w:rPr>
        <w:t xml:space="preserve">1. Карта ручной вставки в эталонный DOCX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 docs/vkr/export/docx/ВКР_глава_1_03.docx найти подраздел 1.3.3. Комплексные ИАС предприятия.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После абзаца, заканчивающегося словами Разработка специализированного прототипа ИАС позволяет реализовать только необходимый функционал с учётом существующих регламентов и ограничений предприятия., вставить новый подраздел 1.3.4. Сравнение реальных аналогов проектируемой системы.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Вставить текст из раздела 2 настоящего документа.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Текущий подраздел 1.3.4. Сводное сопоставление аналогов при ручном переносе переименовать в 1.3.5. Сводное сопоставление аналогов.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Существующую Таблицу 1.2 и Таблицу 1.3 не перенумеровывать, чтобы не нарушать текущие ссылки внутри главы.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Новую сравнительную таблицу вставить внутри нового подраздела с подписью Таблица 1.2а --- Сравнение реальных аналогов и проектируемого прототипа ИАС.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Перед разделом 1.4 вставить переходный абзац из раздела 3 настоящего документа.</w:t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</w:rPr>
        <w:t xml:space="preserve">2. Готовый текст для вставки в главу 1</w:t>
      </w:r>
    </w:p>
    <w:p>
      <w:pPr>
        <w:pStyle w:val="Heading3"/>
        <w:spacing w:after="120" w:before="120"/>
      </w:pPr>
      <w:r>
        <w:rPr>
          <w:rFonts w:ascii="Times New Roman" w:cs="Times New Roman" w:eastAsia="Times New Roman" w:hAnsi="Times New Roman"/>
        </w:rPr>
        <w:t xml:space="preserve">1.3.4. Сравнение реальных аналогов проектируемой системы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уточнения выводов, полученных при анализе классов ITAM-, Help Desk- и комплексных корпоративных платформ, целесообразно дополнительно рассмотреть ряд реальных программных продуктов, представленных на российском и международном рынке. Такое сопоставление позволяет перейти от абстрактного сравнения классов решений к сравнению конкретных систем, потенциально применимых для автоматизации учёта технических средств и обработки пользовательских обращений.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выборе аналогов для сравнения учитывались следующие обстоятельства. Во-первых, для организации приоритетным является использование отечественного программного обеспечения, что делает особенно значимым анализ российских платформ и решений, включённых в контур импортозамещения. Во-вторых, для целей ВКР существенны не только функции регистрации заявок или инвентаризации оборудования сами по себе, но и наличие единой модели данных, позволяющей связать карточку технического средства, заявку, справочники, роли пользователей, историю изменений и аудит действий. В-третьих, важным критерием выступает возможность локального развёртывания и адаптации системы под регламенты конкретного предприятия.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Naumen Service Desk + Naumen IT Asset Management.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Данное решение представляет собой зрелую российскую ITSM/ITAM-платформу корпоративного класса. На официальном сайте вендора заявлены поддержка процессов ITIL, развитая отчётность, ролевая модель, а также отдельный контур управления ИТ-активами для крупных централизованных и территориально распределённых предприятий. Для задач крупного предприятия такое решение является функционально сильным, однако для прототипа ВКР его использование связано с высокой стоимостью внедрения, значительным объёмом организационной настройки и потенциальной функциональной избыточностью относительно локальной задачи учёта ТС и обращений пользователей.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SimpleOne ITSM / ITAM.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Платформа позиционируется как российская ESM/ITSM-система с процессами ITIL, CMDB, SLA, аналитикой, low-code/no-code-настройкой и возможностью расширения на другие сервисные подразделения. С точки зрения архитектурной гибкости и современного интерфейса решение представляет интерес, однако оно также ориентировано на корпоративный сегмент и требует отдельной настройки модели данных, форм, прав и справочников под особенности предметной области предприятия. Следовательно, при высокой функциональной зрелости данная платформа не устраняет проблему адаптации под конкретные правила учёта ТС автоматически.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Astra Automation + Astra Configuration Manager.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экосистеме ГК «Астра» для рассматриваемой задачи наибольший интерес представляет связка двух продуктов. Astra Automation ориентирована на автоматизацию ИТ-операций, управление конфигурациями, развёртыванием и сопровождением инфраструктуры, а Astra Configuration Manager обеспечивает инвентаризацию программных и аппаратных характеристик, управление установкой и обновлением ПО, а также формирование отчётности по парку устройств. Такая связка существенно усиливает аргументацию по линии импортозамещения и совместимости с отечественной инфраструктурой. Вместе с тем она не является прямой специализированной заменой единой системы учёта ТС и обработки заявок, так как для задач сервисного взаимодействия, карточек обращений и сквозной связи «заявка --- актив» потребуется дополнительная организационная и прикладная интеграция.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ИнфраМенеджер.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Данный продукт представляет собой российскую ITSM-платформу, в которой на официальном сайте одновременно заявлены Service Desk, управление аппаратными и программными активами, CMDB, опрос инфраструктуры, workflow и аналитика. Для целей сравнения это один из наиболее близких по предметной области отечественных аналогов, поскольку в нём прямо декларируется интеграция процессов поддержки и управления активами. Преимуществом является высокая предметная релевантность для ИТ-службы предприятия. Ограничение состоит в том, что даже при высокой готовности решения «из коробки» его использование всё равно предполагает адаптацию под внутреннюю номенклатуру технических средств, модель ролей, локальные справочники и конкретные регламенты предприятия.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ITSM 365.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ITSM 365 является российским сервисным решением, ориентированным на автоматизацию внутренних и внешних процессов поддержки, омниканальный приём заявок, учёт оборудования, аналитику, отчётность и low-code-настройку. По материалам официального сайта продукт особенно силён в быстром запуске, сервисной гибкости и сравнительно низком пороге внедрения по сравнению с тяжёлыми enterprise-платформами. Однако основная модель продукта в большей степени ориентирована на сервисное обслуживание и эксплуатационную поддержку, чем на глубокий корпоративный контур учёта технических средств со сложной структурой справочников, жизненным циклом активов и внутренней учётной спецификой.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GLPI.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GLPI является распространённой зарубежной open-source-платформой, сочетающей функции help desk, учёта активов, CMDB, лицензий, контрактов и отчётности. По официальным материалам проекта, система поддерживает регистрацию инцидентов и запросов, управление активами, SLA, базу знаний, а также расширение функциональности через плагины. Для сравнительного анализа GLPI важен как пример открытого решения, объединяющего учёт оборудования и сервисную поддержку в одной системе. Однако для условий организации существенными ограничениями выступают зарубежное происхождение решения, отсутствие ориентации на приоритет отечественного ПО и необходимость самостоятельной адаптации под локальные регламенты и терминологию предприятия.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сопоставления показывают, что российский рынок уже располагает зрелыми продуктами, покрывающими либо сервисный контур, либо учёт и конфигурационное управление, либо оба направления одновременно. Однако для enterprise-платформ характерны высокая стоимость, длительное внедрение и избыточность, а для более лёгких сервисных решений --- необходимость дополнительной адаптации под учётный контур предприятия. Зарубежные открытые платформы полезны как функциональный ориентир, но уступают по критерию импортозамещения и организационной предпочтительности. Следовательно, для рассматриваемой организации наиболее целесообразным остаётся проектирование специализированного прототипа ИАС, в котором связь между учётом технических средств, заявками, справочниками, ролями и аудитом закладывается изначально в единой модели данных.</w:t>
      </w:r>
    </w:p>
    <w:p>
      <w:pPr>
        <w:keepLines/>
        <w:spacing w:after="120" w:before="12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1.2а --- Сравнение реальных аналогов и проектируемого прототипа ИАС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1600"/>
        <w:gridCol w:w="1600"/>
        <w:gridCol w:w="2400"/>
        <w:gridCol w:w="3238"/>
      </w:tblGrid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Решение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Происхождение и модель поставки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Лицензирование и порог входа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Контур учёта активов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Контур Help Desk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Адаптация под регламенты предприятия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AF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Основные ограничения для рассматриваемой задачи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Naumen Service Desk + Naumen ITAM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Российское enterprise-решение, on-premise / корпоративное внедрение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Коммерческая модель, высокий порог входа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Возможна, но требует проекта внедрения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Высокая стоимость, избыточность, зависимость от вендора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SimpleOne ITSM / ITAM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Российская ESM/ITSM-платформа, корпоративное развёртывание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Коммерческая модель, высокий или средне-высокий порог входа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 через ITAM/CMDB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Высокая гибкость, но требуется настройка модели и процессов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Корпоративная сложность, затраты на адаптацию и сопровождение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Astra Automation + ACM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Российская экосистема автоматизации и управления конфигурациями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Коммерческая модель, средне-высокий порог входа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 по линии инвентаризации и конфигураций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Частично, требует дополнительного сервисного контура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Высокая совместимость с отечественной инфраструктурой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Нет прямого единого контура заявок и учёта ТС в одной прикладной модели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ИнфраМенеджер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Российская ITSM/ITAM/CMDB-платформа, on-premise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Коммерческая модель, средний или средне-высокий порог входа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Высокая предметная близость, но нужна настройка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Требуется адаптация под локальные справочники и регламенты предприятия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ITSM 365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Российское сервисное решение, облачное/гибкое внедрение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Более доступный порог входа по сравнению с enterprise-платформами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Базовый или средний, зависит от конфигурации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Высокая гибкость сервисных процессов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Сильнее в service desk, чем в глубоком корпоративном учёте ТС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GLPI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Зарубежное open-source решение, self-hosted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Низкий лицензионный барьер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Развитый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Возможна через настройку и плагины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 соответствует приоритету отечественного ПО, требует локальной адаптации</w:t>
            </w:r>
          </w:p>
        </w:tc>
      </w:tr>
      <w:tr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Проектируемый прототип ИАС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Разрабатываемое решение под условия конкретного предприятия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Затраты ограничены рамками прототипа и целевым функционалом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Формируется по требованиям предприятия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Формируется по требованиям предприятия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Максимальная, так как структура закладывается под внутренние регламенты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Необходимость собственной разработки и последующего развития</w:t>
            </w:r>
          </w:p>
        </w:tc>
      </w:tr>
    </w:tbl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сравнение реальных аналогов подтверждает ранее сделанный вывод о том, что готовые решения, несмотря на их зрелость и практическую ценность, либо оказываются избыточными для задачи ВКР, либо требуют существенной адаптации под внутренние правила учёта технических средств, связку с обращениями пользователей, корпоративные справочники, модель доступа и аудит действий. Для организации, в которой приоритетным является использование отечественного ПО и управляемое локальное развёртывание, наиболее рациональным направлением является разработка специализированного прототипа ИАС, ориентированного не на универсальный рынок, а на конкретные процессы предприятия.</w:t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</w:rPr>
        <w:t xml:space="preserve">3. Переходный абзац перед разделом 1.4</w:t>
      </w:r>
    </w:p>
    <w:p>
      <w:pPr>
        <w:keepLines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сравнения реальных аналогов показывают, что ключевым фактором выбора является не только наличие отдельных функций ITAM или Help Desk, но и способ организации данных, процедур импорта, разграничения доступа и аудита в рамках единого решения. По этой причине далее рассматриваются не конкретные продукты, а подходы к моделированию данных, миграции и управлению доступом, которые целесообразно заложить в проектируемый прототип ИАС.</w:t>
      </w:r>
    </w:p>
    <w:p>
      <w:pPr>
        <w:pStyle w:val="Heading2"/>
        <w:spacing w:after="120" w:before="120"/>
      </w:pPr>
      <w:r>
        <w:rPr>
          <w:rFonts w:ascii="Times New Roman" w:cs="Times New Roman" w:eastAsia="Times New Roman" w:hAnsi="Times New Roman"/>
        </w:rPr>
        <w:t xml:space="preserve">4. Источники для проверки формулировок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Naumen Service Desk: https://naumen.ru/products/service_desk/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Naumen IT Asset Management: https://naumen.ru/products/itam/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SimpleOne ITSM: https://simpleone.ru/products/itsm/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SimpleOne CMDB documentation: https://docs.simpleone.ru/platform/1.26.0/service-tools/configuration-management/configuration-management-database-cmdb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Astra Automation: https://astra.ru/software-services/application-software-astra-group/astra-automation/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Astra Configuration Manager: https://astra.ru/software-services/application-software-astra-group/acm/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ИнфраМенеджер: http://www.inframanager.ru/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ITSM 365: https://itsm365.ru/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GLPI: https://www.glpi-project.org/en/</w:t>
      </w:r>
    </w:p>
    <w:p>
      <w:pPr>
        <w:keepLines/>
        <w:spacing w:after="120" w:line="360"/>
        <w:ind w:left="36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GLPI repository and feature summary: https://github.com/glpi-project/glpi/</w:t>
      </w:r>
    </w:p>
    <w:sectPr>
      <w:footerReference w:type="default" r:id="rId7"/>
      <w:pgSz w:w="16838" w:h="11906" w:orient="landscape"/>
      <w:pgMar w:top="1134" w:right="850" w:bottom="113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2026-04-16T13:14:18.847Z</dcterms:created>
  <dcterms:modified xsi:type="dcterms:W3CDTF">2026-04-16T13:14:18.848Z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