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262" w:rsidRDefault="008661D6">
      <w:pPr>
        <w:pStyle w:val="1"/>
        <w:spacing w:after="120"/>
      </w:pPr>
      <w:bookmarkStart w:id="0" w:name="_GoBack"/>
      <w:r>
        <w:t>Таблица 1.2а — Сравнение реальных аналогов и проектируемого прототипа ИАС</w:t>
      </w:r>
    </w:p>
    <w:tbl>
      <w:tblPr>
        <w:tblW w:w="10895" w:type="dxa"/>
        <w:tblInd w:w="-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1701"/>
        <w:gridCol w:w="1268"/>
        <w:gridCol w:w="1067"/>
        <w:gridCol w:w="1178"/>
        <w:gridCol w:w="2001"/>
        <w:gridCol w:w="1978"/>
      </w:tblGrid>
      <w:tr w:rsidR="007B4FBF" w:rsidRPr="007B4FBF" w:rsidTr="007B4FBF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jc w:val="center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Решение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jc w:val="center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Происхождение и модель поставки</w:t>
            </w:r>
          </w:p>
        </w:tc>
        <w:tc>
          <w:tcPr>
            <w:tcW w:w="1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jc w:val="center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Лицензирование и порог входа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jc w:val="center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Контур учёта активов</w:t>
            </w:r>
          </w:p>
        </w:tc>
        <w:tc>
          <w:tcPr>
            <w:tcW w:w="11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jc w:val="center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 xml:space="preserve">Контур </w:t>
            </w:r>
            <w:proofErr w:type="spellStart"/>
            <w:r w:rsidRPr="007B4FBF">
              <w:rPr>
                <w:sz w:val="24"/>
                <w:szCs w:val="24"/>
              </w:rPr>
              <w:t>Help</w:t>
            </w:r>
            <w:proofErr w:type="spellEnd"/>
            <w:r w:rsidRPr="007B4FBF">
              <w:rPr>
                <w:sz w:val="24"/>
                <w:szCs w:val="24"/>
              </w:rPr>
              <w:t xml:space="preserve"> </w:t>
            </w:r>
            <w:proofErr w:type="spellStart"/>
            <w:r w:rsidRPr="007B4FBF">
              <w:rPr>
                <w:sz w:val="24"/>
                <w:szCs w:val="24"/>
              </w:rPr>
              <w:t>Desk</w:t>
            </w:r>
            <w:proofErr w:type="spellEnd"/>
          </w:p>
        </w:tc>
        <w:tc>
          <w:tcPr>
            <w:tcW w:w="20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jc w:val="center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Адаптация под регламенты предприятия</w:t>
            </w:r>
          </w:p>
        </w:tc>
        <w:tc>
          <w:tcPr>
            <w:tcW w:w="1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jc w:val="center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Основные ограничения для рассматриваемой задачи</w:t>
            </w:r>
          </w:p>
        </w:tc>
      </w:tr>
      <w:tr w:rsidR="007B4FBF" w:rsidRPr="007B4FBF" w:rsidTr="007B4FBF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  <w:lang w:val="en-US"/>
              </w:rPr>
            </w:pPr>
            <w:proofErr w:type="spellStart"/>
            <w:r w:rsidRPr="007B4FBF">
              <w:rPr>
                <w:sz w:val="24"/>
                <w:szCs w:val="24"/>
                <w:lang w:val="en-US"/>
              </w:rPr>
              <w:t>Naumen</w:t>
            </w:r>
            <w:proofErr w:type="spellEnd"/>
            <w:r w:rsidRPr="007B4FBF">
              <w:rPr>
                <w:sz w:val="24"/>
                <w:szCs w:val="24"/>
                <w:lang w:val="en-US"/>
              </w:rPr>
              <w:t xml:space="preserve"> Service Desk + </w:t>
            </w:r>
            <w:proofErr w:type="spellStart"/>
            <w:r w:rsidRPr="007B4FBF">
              <w:rPr>
                <w:sz w:val="24"/>
                <w:szCs w:val="24"/>
                <w:lang w:val="en-US"/>
              </w:rPr>
              <w:t>Naumen</w:t>
            </w:r>
            <w:proofErr w:type="spellEnd"/>
            <w:r w:rsidRPr="007B4FBF">
              <w:rPr>
                <w:sz w:val="24"/>
                <w:szCs w:val="24"/>
                <w:lang w:val="en-US"/>
              </w:rPr>
              <w:t xml:space="preserve"> ITAM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 xml:space="preserve">Российское </w:t>
            </w:r>
            <w:proofErr w:type="spellStart"/>
            <w:r w:rsidRPr="007B4FBF">
              <w:rPr>
                <w:sz w:val="24"/>
                <w:szCs w:val="24"/>
              </w:rPr>
              <w:t>enterprise</w:t>
            </w:r>
            <w:proofErr w:type="spellEnd"/>
            <w:r w:rsidRPr="007B4FBF">
              <w:rPr>
                <w:sz w:val="24"/>
                <w:szCs w:val="24"/>
              </w:rPr>
              <w:t xml:space="preserve">-решение, </w:t>
            </w:r>
            <w:proofErr w:type="spellStart"/>
            <w:r w:rsidRPr="007B4FBF">
              <w:rPr>
                <w:sz w:val="24"/>
                <w:szCs w:val="24"/>
              </w:rPr>
              <w:t>on-premise</w:t>
            </w:r>
            <w:proofErr w:type="spellEnd"/>
            <w:r w:rsidRPr="007B4FBF">
              <w:rPr>
                <w:sz w:val="24"/>
                <w:szCs w:val="24"/>
              </w:rPr>
              <w:t xml:space="preserve"> / корпоративное внедрение</w:t>
            </w:r>
          </w:p>
        </w:tc>
        <w:tc>
          <w:tcPr>
            <w:tcW w:w="1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Коммерческая модель, высокий порог входа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</w:t>
            </w:r>
          </w:p>
        </w:tc>
        <w:tc>
          <w:tcPr>
            <w:tcW w:w="11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</w:t>
            </w:r>
          </w:p>
        </w:tc>
        <w:tc>
          <w:tcPr>
            <w:tcW w:w="20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Возможна, но требует проекта внедрения</w:t>
            </w:r>
          </w:p>
        </w:tc>
        <w:tc>
          <w:tcPr>
            <w:tcW w:w="1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 xml:space="preserve">Высокая стоимость, избыточность, зависимость от </w:t>
            </w:r>
            <w:proofErr w:type="spellStart"/>
            <w:r w:rsidRPr="007B4FBF">
              <w:rPr>
                <w:sz w:val="24"/>
                <w:szCs w:val="24"/>
              </w:rPr>
              <w:t>вендора</w:t>
            </w:r>
            <w:proofErr w:type="spellEnd"/>
          </w:p>
        </w:tc>
      </w:tr>
      <w:tr w:rsidR="007B4FBF" w:rsidRPr="007B4FBF" w:rsidTr="007B4FBF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proofErr w:type="spellStart"/>
            <w:r w:rsidRPr="007B4FBF">
              <w:rPr>
                <w:sz w:val="24"/>
                <w:szCs w:val="24"/>
              </w:rPr>
              <w:t>SimpleOne</w:t>
            </w:r>
            <w:proofErr w:type="spellEnd"/>
            <w:r w:rsidRPr="007B4FBF">
              <w:rPr>
                <w:sz w:val="24"/>
                <w:szCs w:val="24"/>
              </w:rPr>
              <w:t xml:space="preserve"> ITSM / ITAM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Российская ESM/ITSM-платформа, корпоративное развёртывание</w:t>
            </w:r>
          </w:p>
        </w:tc>
        <w:tc>
          <w:tcPr>
            <w:tcW w:w="1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Коммерческая модель, высокий или средне-высокий порог входа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 через ITAM/CMDB</w:t>
            </w:r>
          </w:p>
        </w:tc>
        <w:tc>
          <w:tcPr>
            <w:tcW w:w="11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</w:t>
            </w:r>
          </w:p>
        </w:tc>
        <w:tc>
          <w:tcPr>
            <w:tcW w:w="20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Высокая гибкость, но тре</w:t>
            </w:r>
            <w:r w:rsidRPr="007B4FBF">
              <w:rPr>
                <w:sz w:val="24"/>
                <w:szCs w:val="24"/>
              </w:rPr>
              <w:t>буется настройка модели и процессов</w:t>
            </w:r>
          </w:p>
        </w:tc>
        <w:tc>
          <w:tcPr>
            <w:tcW w:w="1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Корпоративная сложность, затраты на адаптацию и сопровождение</w:t>
            </w:r>
          </w:p>
        </w:tc>
      </w:tr>
      <w:tr w:rsidR="007B4FBF" w:rsidRPr="007B4FBF" w:rsidTr="007B4FBF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proofErr w:type="spellStart"/>
            <w:r w:rsidRPr="007B4FBF">
              <w:rPr>
                <w:sz w:val="24"/>
                <w:szCs w:val="24"/>
              </w:rPr>
              <w:t>Astra</w:t>
            </w:r>
            <w:proofErr w:type="spellEnd"/>
            <w:r w:rsidRPr="007B4FBF">
              <w:rPr>
                <w:sz w:val="24"/>
                <w:szCs w:val="24"/>
              </w:rPr>
              <w:t xml:space="preserve"> </w:t>
            </w:r>
            <w:proofErr w:type="spellStart"/>
            <w:r w:rsidRPr="007B4FBF">
              <w:rPr>
                <w:sz w:val="24"/>
                <w:szCs w:val="24"/>
              </w:rPr>
              <w:t>Automation</w:t>
            </w:r>
            <w:proofErr w:type="spellEnd"/>
            <w:r w:rsidRPr="007B4FBF">
              <w:rPr>
                <w:sz w:val="24"/>
                <w:szCs w:val="24"/>
              </w:rPr>
              <w:t xml:space="preserve"> + ACM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Российская экосистема автоматизации и управления конфигурациями</w:t>
            </w:r>
          </w:p>
        </w:tc>
        <w:tc>
          <w:tcPr>
            <w:tcW w:w="1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Коммерческая модель, средне-высокий порог входа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 по линии инвентаризации и конфигураций</w:t>
            </w:r>
          </w:p>
        </w:tc>
        <w:tc>
          <w:tcPr>
            <w:tcW w:w="11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Частично, требует дополнительного сервисного контура</w:t>
            </w:r>
          </w:p>
        </w:tc>
        <w:tc>
          <w:tcPr>
            <w:tcW w:w="20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Высокая совместимость с отечественной инфраструктурой</w:t>
            </w:r>
          </w:p>
        </w:tc>
        <w:tc>
          <w:tcPr>
            <w:tcW w:w="1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Нет прямого единого контура заявок и учёта ТС в одной прикладной модели</w:t>
            </w:r>
          </w:p>
        </w:tc>
      </w:tr>
      <w:tr w:rsidR="007B4FBF" w:rsidRPr="007B4FBF" w:rsidTr="007B4FBF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proofErr w:type="spellStart"/>
            <w:r w:rsidRPr="007B4FBF">
              <w:rPr>
                <w:sz w:val="24"/>
                <w:szCs w:val="24"/>
              </w:rPr>
              <w:t>ИнфраМенеджер</w:t>
            </w:r>
            <w:proofErr w:type="spellEnd"/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  <w:lang w:val="en-US"/>
              </w:rPr>
            </w:pPr>
            <w:r w:rsidRPr="007B4FBF">
              <w:rPr>
                <w:sz w:val="24"/>
                <w:szCs w:val="24"/>
              </w:rPr>
              <w:t>Российская</w:t>
            </w:r>
            <w:r w:rsidRPr="007B4FBF">
              <w:rPr>
                <w:sz w:val="24"/>
                <w:szCs w:val="24"/>
                <w:lang w:val="en-US"/>
              </w:rPr>
              <w:t xml:space="preserve"> ITS</w:t>
            </w:r>
            <w:r w:rsidRPr="007B4FBF">
              <w:rPr>
                <w:sz w:val="24"/>
                <w:szCs w:val="24"/>
                <w:lang w:val="en-US"/>
              </w:rPr>
              <w:t>M/ITAM/CMDB-</w:t>
            </w:r>
            <w:r w:rsidRPr="007B4FBF">
              <w:rPr>
                <w:sz w:val="24"/>
                <w:szCs w:val="24"/>
              </w:rPr>
              <w:t>платформа</w:t>
            </w:r>
            <w:r w:rsidRPr="007B4FB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B4FBF">
              <w:rPr>
                <w:sz w:val="24"/>
                <w:szCs w:val="24"/>
                <w:lang w:val="en-US"/>
              </w:rPr>
              <w:t>on-premise</w:t>
            </w:r>
            <w:proofErr w:type="spellEnd"/>
          </w:p>
        </w:tc>
        <w:tc>
          <w:tcPr>
            <w:tcW w:w="1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Коммерческая модель, средний или средне-высокий порог входа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</w:t>
            </w:r>
          </w:p>
        </w:tc>
        <w:tc>
          <w:tcPr>
            <w:tcW w:w="11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</w:t>
            </w:r>
          </w:p>
        </w:tc>
        <w:tc>
          <w:tcPr>
            <w:tcW w:w="20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Высокая предметная близость, но нужна настройка</w:t>
            </w:r>
          </w:p>
        </w:tc>
        <w:tc>
          <w:tcPr>
            <w:tcW w:w="1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Требуется адаптация под локальные справочники и регламенты предприятия</w:t>
            </w:r>
          </w:p>
        </w:tc>
      </w:tr>
      <w:tr w:rsidR="007B4FBF" w:rsidRPr="007B4FBF" w:rsidTr="007B4FBF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lastRenderedPageBreak/>
              <w:t>ITSM 365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Российское сервисное решение, облачное/гибкое внедрение</w:t>
            </w:r>
          </w:p>
        </w:tc>
        <w:tc>
          <w:tcPr>
            <w:tcW w:w="1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 xml:space="preserve">Более доступный порог входа по сравнению с </w:t>
            </w:r>
            <w:proofErr w:type="spellStart"/>
            <w:r w:rsidRPr="007B4FBF">
              <w:rPr>
                <w:sz w:val="24"/>
                <w:szCs w:val="24"/>
              </w:rPr>
              <w:t>enterprise</w:t>
            </w:r>
            <w:proofErr w:type="spellEnd"/>
            <w:r w:rsidRPr="007B4FBF">
              <w:rPr>
                <w:sz w:val="24"/>
                <w:szCs w:val="24"/>
              </w:rPr>
              <w:t>-платформами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Базовый или средний, зависит от конфигурации</w:t>
            </w:r>
          </w:p>
        </w:tc>
        <w:tc>
          <w:tcPr>
            <w:tcW w:w="11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</w:t>
            </w:r>
          </w:p>
        </w:tc>
        <w:tc>
          <w:tcPr>
            <w:tcW w:w="20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Высокая гибкость сервисных процессов</w:t>
            </w:r>
          </w:p>
        </w:tc>
        <w:tc>
          <w:tcPr>
            <w:tcW w:w="1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 xml:space="preserve">Сильнее в </w:t>
            </w:r>
            <w:proofErr w:type="spellStart"/>
            <w:r w:rsidRPr="007B4FBF">
              <w:rPr>
                <w:sz w:val="24"/>
                <w:szCs w:val="24"/>
              </w:rPr>
              <w:t>service</w:t>
            </w:r>
            <w:proofErr w:type="spellEnd"/>
            <w:r w:rsidRPr="007B4FBF">
              <w:rPr>
                <w:sz w:val="24"/>
                <w:szCs w:val="24"/>
              </w:rPr>
              <w:t xml:space="preserve"> </w:t>
            </w:r>
            <w:proofErr w:type="spellStart"/>
            <w:r w:rsidRPr="007B4FBF">
              <w:rPr>
                <w:sz w:val="24"/>
                <w:szCs w:val="24"/>
              </w:rPr>
              <w:t>desk</w:t>
            </w:r>
            <w:proofErr w:type="spellEnd"/>
            <w:r w:rsidRPr="007B4FBF">
              <w:rPr>
                <w:sz w:val="24"/>
                <w:szCs w:val="24"/>
              </w:rPr>
              <w:t>, чем в глубоком корп</w:t>
            </w:r>
            <w:r w:rsidRPr="007B4FBF">
              <w:rPr>
                <w:sz w:val="24"/>
                <w:szCs w:val="24"/>
              </w:rPr>
              <w:t>оративном учёте ТС</w:t>
            </w:r>
          </w:p>
        </w:tc>
      </w:tr>
      <w:tr w:rsidR="007B4FBF" w:rsidRPr="007B4FBF" w:rsidTr="007B4FBF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GLPI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  <w:lang w:val="en-US"/>
              </w:rPr>
            </w:pPr>
            <w:r w:rsidRPr="007B4FBF">
              <w:rPr>
                <w:sz w:val="24"/>
                <w:szCs w:val="24"/>
              </w:rPr>
              <w:t>Зарубежное</w:t>
            </w:r>
            <w:r w:rsidRPr="007B4FBF">
              <w:rPr>
                <w:sz w:val="24"/>
                <w:szCs w:val="24"/>
                <w:lang w:val="en-US"/>
              </w:rPr>
              <w:t xml:space="preserve"> open-source </w:t>
            </w:r>
            <w:r w:rsidRPr="007B4FBF">
              <w:rPr>
                <w:sz w:val="24"/>
                <w:szCs w:val="24"/>
              </w:rPr>
              <w:t>решение</w:t>
            </w:r>
            <w:r w:rsidRPr="007B4FBF">
              <w:rPr>
                <w:sz w:val="24"/>
                <w:szCs w:val="24"/>
                <w:lang w:val="en-US"/>
              </w:rPr>
              <w:t>, self-hosted</w:t>
            </w:r>
          </w:p>
        </w:tc>
        <w:tc>
          <w:tcPr>
            <w:tcW w:w="1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Низкий лицензионный барьер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</w:t>
            </w:r>
          </w:p>
        </w:tc>
        <w:tc>
          <w:tcPr>
            <w:tcW w:w="11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Развитый</w:t>
            </w:r>
          </w:p>
        </w:tc>
        <w:tc>
          <w:tcPr>
            <w:tcW w:w="20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Возможна через настройку и плагины</w:t>
            </w:r>
          </w:p>
        </w:tc>
        <w:tc>
          <w:tcPr>
            <w:tcW w:w="1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Не соответствует приоритету отечественного ПО, требует локальной адаптации</w:t>
            </w:r>
          </w:p>
        </w:tc>
      </w:tr>
      <w:tr w:rsidR="007B4FBF" w:rsidRPr="007B4FBF" w:rsidTr="007B4FBF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Проектируемый прототип ИАС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Разрабатываемое решение под условия конкретного предприятия</w:t>
            </w:r>
          </w:p>
        </w:tc>
        <w:tc>
          <w:tcPr>
            <w:tcW w:w="1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Затраты ограничены рамками прототипа и целевым функционалом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Формируется по требованиям предприятия</w:t>
            </w:r>
          </w:p>
        </w:tc>
        <w:tc>
          <w:tcPr>
            <w:tcW w:w="11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Формируется по требованиям предприятия</w:t>
            </w:r>
          </w:p>
        </w:tc>
        <w:tc>
          <w:tcPr>
            <w:tcW w:w="20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Максимальная, так как структура закладывается под внутренн</w:t>
            </w:r>
            <w:r w:rsidRPr="007B4FBF">
              <w:rPr>
                <w:sz w:val="24"/>
                <w:szCs w:val="24"/>
              </w:rPr>
              <w:t>ие регламенты</w:t>
            </w:r>
          </w:p>
        </w:tc>
        <w:tc>
          <w:tcPr>
            <w:tcW w:w="1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62" w:rsidRPr="007B4FBF" w:rsidRDefault="008661D6">
            <w:pPr>
              <w:spacing w:after="60" w:line="300" w:lineRule="auto"/>
              <w:rPr>
                <w:sz w:val="24"/>
                <w:szCs w:val="24"/>
              </w:rPr>
            </w:pPr>
            <w:r w:rsidRPr="007B4FBF">
              <w:rPr>
                <w:sz w:val="24"/>
                <w:szCs w:val="24"/>
              </w:rPr>
              <w:t>Необходимость собственной разработки и последующего развития</w:t>
            </w:r>
          </w:p>
        </w:tc>
      </w:tr>
      <w:bookmarkEnd w:id="0"/>
    </w:tbl>
    <w:p w:rsidR="008661D6" w:rsidRDefault="008661D6"/>
    <w:sectPr w:rsidR="008661D6" w:rsidSect="007B4FBF">
      <w:footerReference w:type="default" r:id="rId7"/>
      <w:pgSz w:w="11906" w:h="16838"/>
      <w:pgMar w:top="850" w:right="1134" w:bottom="850" w:left="1134" w:header="708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1D6" w:rsidRDefault="008661D6">
      <w:r>
        <w:separator/>
      </w:r>
    </w:p>
  </w:endnote>
  <w:endnote w:type="continuationSeparator" w:id="0">
    <w:p w:rsidR="008661D6" w:rsidRDefault="00866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262" w:rsidRDefault="008661D6">
    <w:pPr>
      <w:jc w:val="center"/>
    </w:pPr>
    <w:r>
      <w:rPr>
        <w:sz w:val="24"/>
        <w:szCs w:val="24"/>
      </w:rPr>
      <w:t xml:space="preserve">Стр.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7B4FBF">
      <w:rPr>
        <w:sz w:val="24"/>
        <w:szCs w:val="24"/>
      </w:rPr>
      <w:fldChar w:fldCharType="separate"/>
    </w:r>
    <w:r w:rsidR="0016464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1D6" w:rsidRDefault="008661D6">
      <w:r>
        <w:separator/>
      </w:r>
    </w:p>
  </w:footnote>
  <w:footnote w:type="continuationSeparator" w:id="0">
    <w:p w:rsidR="008661D6" w:rsidRDefault="00866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4205"/>
    <w:multiLevelType w:val="hybridMultilevel"/>
    <w:tmpl w:val="EC3A2834"/>
    <w:lvl w:ilvl="0" w:tplc="C64A99CC">
      <w:start w:val="1"/>
      <w:numFmt w:val="bullet"/>
      <w:lvlText w:val="●"/>
      <w:lvlJc w:val="left"/>
      <w:pPr>
        <w:ind w:left="720" w:hanging="360"/>
      </w:pPr>
    </w:lvl>
    <w:lvl w:ilvl="1" w:tplc="AF586926">
      <w:start w:val="1"/>
      <w:numFmt w:val="bullet"/>
      <w:lvlText w:val="○"/>
      <w:lvlJc w:val="left"/>
      <w:pPr>
        <w:ind w:left="1440" w:hanging="360"/>
      </w:pPr>
    </w:lvl>
    <w:lvl w:ilvl="2" w:tplc="692E68B8">
      <w:start w:val="1"/>
      <w:numFmt w:val="bullet"/>
      <w:lvlText w:val="■"/>
      <w:lvlJc w:val="left"/>
      <w:pPr>
        <w:ind w:left="2160" w:hanging="360"/>
      </w:pPr>
    </w:lvl>
    <w:lvl w:ilvl="3" w:tplc="EDEAB356">
      <w:start w:val="1"/>
      <w:numFmt w:val="bullet"/>
      <w:lvlText w:val="●"/>
      <w:lvlJc w:val="left"/>
      <w:pPr>
        <w:ind w:left="2880" w:hanging="360"/>
      </w:pPr>
    </w:lvl>
    <w:lvl w:ilvl="4" w:tplc="8B76A162">
      <w:start w:val="1"/>
      <w:numFmt w:val="bullet"/>
      <w:lvlText w:val="○"/>
      <w:lvlJc w:val="left"/>
      <w:pPr>
        <w:ind w:left="3600" w:hanging="360"/>
      </w:pPr>
    </w:lvl>
    <w:lvl w:ilvl="5" w:tplc="DE2CB9FA">
      <w:start w:val="1"/>
      <w:numFmt w:val="bullet"/>
      <w:lvlText w:val="■"/>
      <w:lvlJc w:val="left"/>
      <w:pPr>
        <w:ind w:left="4320" w:hanging="360"/>
      </w:pPr>
    </w:lvl>
    <w:lvl w:ilvl="6" w:tplc="6150B2C0">
      <w:start w:val="1"/>
      <w:numFmt w:val="bullet"/>
      <w:lvlText w:val="●"/>
      <w:lvlJc w:val="left"/>
      <w:pPr>
        <w:ind w:left="5040" w:hanging="360"/>
      </w:pPr>
    </w:lvl>
    <w:lvl w:ilvl="7" w:tplc="F544F15E">
      <w:start w:val="1"/>
      <w:numFmt w:val="bullet"/>
      <w:lvlText w:val="●"/>
      <w:lvlJc w:val="left"/>
      <w:pPr>
        <w:ind w:left="5760" w:hanging="360"/>
      </w:pPr>
    </w:lvl>
    <w:lvl w:ilvl="8" w:tplc="4E4E8B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262"/>
    <w:rsid w:val="0016464E"/>
    <w:rsid w:val="00181262"/>
    <w:rsid w:val="007B4FBF"/>
    <w:rsid w:val="0086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90A018-27E9-4530-9E2B-0D8BF9FA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Ревва Рубен Рубенович</cp:lastModifiedBy>
  <cp:revision>3</cp:revision>
  <dcterms:created xsi:type="dcterms:W3CDTF">2026-04-17T05:08:00Z</dcterms:created>
  <dcterms:modified xsi:type="dcterms:W3CDTF">2026-04-17T05:41:00Z</dcterms:modified>
</cp:coreProperties>
</file>