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0"/>
        </w:rPr>
        <w:t>Supplementary Methods and Legends</w:t>
      </w:r>
    </w:p>
    <w:p>
      <w:pPr>
        <w:jc w:val="both"/>
      </w:pPr>
      <w:r>
        <w:rPr>
          <w:rFonts w:ascii="Times New Roman" w:hAnsi="Times New Roman" w:eastAsia="Times New Roman"/>
          <w:b w:val="0"/>
          <w:i w:val="0"/>
          <w:sz w:val="22"/>
        </w:rPr>
        <w:t>Validation of individual-participant data reconstructed from published Kaplan–Meier curves</w:t>
      </w:r>
    </w:p>
    <w:p>
      <w:pPr>
        <w:jc w:val="both"/>
      </w:pPr>
      <w:r>
        <w:rPr>
          <w:rFonts w:ascii="Times New Roman" w:hAnsi="Times New Roman" w:eastAsia="Times New Roman"/>
          <w:b w:val="0"/>
          <w:i/>
          <w:sz w:val="20"/>
        </w:rPr>
        <w:t>Suggested placement: Supplementary Methods (section on data reconstruction) and the Supplementary Figure/Table list. The numbering (Figure S__, Table S__) should be set to match the Supplementary Information. The 95 panels are provided as individual high-resolution PNGs (see 00_index.csv for ordering) bundled in SFig_KM_overlay_95panels.zip; the validation workbook is S3_KM_reconstruction_HR_validation.xlsx.</w:t>
      </w:r>
    </w:p>
    <w:p>
      <w:pPr>
        <w:spacing w:before="200" w:after="80"/>
      </w:pPr>
      <w:r>
        <w:rPr>
          <w:rFonts w:ascii="Times New Roman" w:hAnsi="Times New Roman" w:eastAsia="Times New Roman"/>
          <w:b/>
          <w:i w:val="0"/>
          <w:sz w:val="24"/>
        </w:rPr>
        <w:t>Supplementary Methods</w:t>
      </w:r>
    </w:p>
    <w:p>
      <w:pPr>
        <w:spacing w:before="120" w:after="80"/>
      </w:pPr>
      <w:r>
        <w:rPr>
          <w:rFonts w:ascii="Times New Roman" w:hAnsi="Times New Roman" w:eastAsia="Times New Roman"/>
          <w:b/>
          <w:i w:val="0"/>
          <w:sz w:val="24"/>
        </w:rPr>
        <w:t>Validation of the reconstructed individual-participant data (IPD)</w:t>
      </w:r>
    </w:p>
    <w:p>
      <w:pPr>
        <w:jc w:val="both"/>
      </w:pPr>
      <w:r>
        <w:rPr>
          <w:rFonts w:ascii="Times New Roman" w:hAnsi="Times New Roman" w:eastAsia="Times New Roman"/>
          <w:b w:val="0"/>
          <w:i w:val="0"/>
          <w:sz w:val="22"/>
        </w:rPr>
        <w:t>Because the pooled absolute-risk estimates are derived entirely from individual-participant data reconstructed from published Kaplan–Meier curves rather than from raw patient data, we performed a three-part validation of the reconstruction across every two-state comparison in the review (95 comparisons, 190 Kaplan–Meier arms, 5,616 digitised coordinates, 11,297 reconstructed patients and 3,041 reconstructed events). All code and the per-comparison output are provided in the analysis repository (R/M1a_reconstruct_IPD.R; python/S3b_km_overlay_hr_validation.py).</w:t>
      </w:r>
    </w:p>
    <w:p>
      <w:pPr>
        <w:jc w:val="both"/>
      </w:pPr>
      <w:r>
        <w:rPr>
          <w:rFonts w:ascii="Times New Roman" w:hAnsi="Times New Roman" w:eastAsia="Times New Roman"/>
          <w:b w:val="0"/>
          <w:i w:val="0"/>
          <w:sz w:val="22"/>
        </w:rPr>
        <w:t>Reconstruction algorithm. IPD were reconstructed with the number-at-risk (NAR) constrained algorithm of Guyot et al. (2012). Within each interval between two consecutive NAR time points, the number of events is fixed by the survival drop and the NAR table (events = round(n_at_risk × (1 − S_end/S_start))), and the remaining attrition is assigned to censoring. We implemented two refinements relative to a simple clock-time interpolation. First, the events in an interval are placed uniformly across the survival-drop space and each resulting survival level is mapped onto the digitised curve time (rather than being spread uniformly in clock time), so that a single large step is not smeared across an interval onto ever-smaller risk sets. Second, within an interval the censoring is placed after the last event, because administrative loss that only manifests at the next NAR point must not shrink the risk set before the events recorded on the curve. Neither refinement changes the event count or the NAR interval to which an event belongs, so the endpoint cumulative incidence and the NAR tables are reproduced exactly; the refinements improve only the within-interval event timing and the reconstructed curve geometry.</w:t>
      </w:r>
    </w:p>
    <w:p>
      <w:pPr>
        <w:jc w:val="both"/>
      </w:pPr>
      <w:r>
        <w:rPr>
          <w:rFonts w:ascii="Times New Roman" w:hAnsi="Times New Roman" w:eastAsia="Times New Roman"/>
          <w:b w:val="0"/>
          <w:i w:val="0"/>
          <w:sz w:val="22"/>
        </w:rPr>
        <w:t>First, a Kaplan–Meier overlay. For each arm, the digitised coordinates of the source Kaplan–Meier curve were plotted against the Kaplan–Meier curve re-estimated directly from the reconstructed IPD, and the mean absolute error (MAE) between the digitised and reconstructed survival probabilities was computed at every digitised time point within the follow-up interval covered by the reconstruction. Because the reconstruction is constrained to reproduce the NAR table exactly, this overlay diagnoses discrepancies in the digitised curve geometry rather than the event totals.</w:t>
      </w:r>
    </w:p>
    <w:p>
      <w:pPr>
        <w:jc w:val="both"/>
      </w:pPr>
      <w:r>
        <w:rPr>
          <w:rFonts w:ascii="Times New Roman" w:hAnsi="Times New Roman" w:eastAsia="Times New Roman"/>
          <w:b w:val="0"/>
          <w:i w:val="0"/>
          <w:sz w:val="22"/>
        </w:rPr>
        <w:t>Second, a hazard-ratio check. An unadjusted Cox proportional-hazards model, Surv(time, event) ~ ctDNA, was fitted directly on the reconstructed IPD for each comparison using the maximum-likelihood partial likelihood with Breslow handling of ties (the default of R survival::coxph); the reconstructed HR and its 95% confidence interval were then compared with the HR reported in the source article. In eleven comparisons with very small positive arms and large effects, the maximum-likelihood fit returned non-finite coefficients (Newton–Raphson overflow, not complete separation); these were refitted with a negligible ridge penalty (penalizer = 0.01), which is recorded in the cox_method column. Reconstructed HRs are unadjusted; source adjusted or multivariable HRs were compared on the effect size and direction, allowing for the reference group used in the source report.</w:t>
      </w:r>
    </w:p>
    <w:p>
      <w:pPr>
        <w:jc w:val="both"/>
      </w:pPr>
      <w:r>
        <w:rPr>
          <w:rFonts w:ascii="Times New Roman" w:hAnsi="Times New Roman" w:eastAsia="Times New Roman"/>
          <w:b w:val="0"/>
          <w:i w:val="0"/>
          <w:sz w:val="22"/>
        </w:rPr>
        <w:t>Third, a number-at-risk (NAR) consistency audit. A valid Kaplan–Meier curve must satisfy S(t) ≥ nrisk(t)/n0 at every NAR time point. A violation is a mathematical contradiction that cannot be produced by the reconstruction—which is explicitly constrained to the NAR table—and therefore indicates an error during digitisation. The NAR violation is defined as max_t [nrisk(t)/n0 − S_digitised(t)] and an arm is flagged above 0.06. A distinct, non-contradictory condition arises when a NAR table contains only a baseline and a terminal entry: the total event count and the curve endpoints are then recoverable but the within-interval timing of events is not identifiable. Such arms are labelled “sparse-NAR/timing-only”, are used for pooled estimates only, and contribute no positive point estimate.</w:t>
      </w:r>
    </w:p>
    <w:p>
      <w:pPr>
        <w:jc w:val="both"/>
      </w:pPr>
      <w:r>
        <w:rPr>
          <w:rFonts w:ascii="Times New Roman" w:hAnsi="Times New Roman" w:eastAsia="Times New Roman"/>
          <w:b w:val="0"/>
          <w:i w:val="0"/>
          <w:sz w:val="22"/>
        </w:rPr>
        <w:t>Validation results. The median arm-level overlay MAE was 0.02 (interquartile range 0.011–0.031); 188 of 190 arms (98.9%) had an MAE ≤ 0.10 and all 190 arms (100%) had an MAE ≤ 0.15. Of the 86 comparisons with a numeric source HR and an estimable reconstructed HR, 84 published HRs lay within the reconstructed 95% confidence interval and two used the inverse reference group (their reciprocals fell within the interval), giving 86/86 (100%) agreement with zero residual mismatches. Among the 79 same-calibre unadjusted source HRs, 78 lay directly within the interval and one (Zhou J 2025 post-ACT, 30-KM5a) was a reciprocal match; excluding that single reference-group inversion, the Spearman correlation between reconstructed and published log HRs was 0.95. Of the seven adjusted/multivariable source HRs, six lay directly within the interval and one (Benhaim 2021, 19-KM3) agreed after inversion of the reference group; all seven were direction-consistent once the reference direction was accounted for. The two reference-group inversions were Zhou J 2025 post-ACT (30-KM5a, reconstructed 0.23 versus reported 19.15) and Benhaim 2021 (19-KM3, adjusted, reconstructed 0.29 versus reported 5.00); in each case the source reported the HR for the opposite comparison direction.</w:t>
      </w:r>
    </w:p>
    <w:p>
      <w:pPr>
        <w:spacing w:before="200" w:after="80"/>
      </w:pPr>
      <w:r>
        <w:rPr>
          <w:rFonts w:ascii="Times New Roman" w:hAnsi="Times New Roman" w:eastAsia="Times New Roman"/>
          <w:b/>
          <w:i w:val="0"/>
          <w:sz w:val="24"/>
        </w:rPr>
        <w:t>Source verification of three curves and resolution of the flags</w:t>
      </w:r>
    </w:p>
    <w:p>
      <w:pPr>
        <w:jc w:val="both"/>
      </w:pPr>
      <w:r>
        <w:rPr>
          <w:rFonts w:ascii="Times New Roman" w:hAnsi="Times New Roman" w:eastAsia="Times New Roman"/>
          <w:b w:val="0"/>
          <w:i w:val="0"/>
          <w:sz w:val="22"/>
        </w:rPr>
        <w:t>Three curves were returned to the source articles for point-by-point verification. Two of them (Zhou J 2025, 30-KM3e PFS and 30-KM3f OS, LARC pre-op) had an initial digitisation geometry that fell outside the number-at-risk bound (initial NAR violations of 0.316 and 0.148); after re-digitisation both violations are zero. The third (50-KM1, Lygre 2024) was confirmed to have been digitised correctly: re-reading source Table 3 and the figure established a positive arm of only five patients and a negative arm of 45, and an early diagnostic pass that had mistakenly read both arms’ initial n0 as 50 produced a spurious flag; once the correct n0 (5/45) was used, the NAR violation was zero. All three comparisons were rebuilt through the full M1 and S3b pipeline and are now flagged “ok”:</w:t>
      </w:r>
    </w:p>
    <w:p>
      <w:pPr>
        <w:jc w:val="both"/>
      </w:pPr>
      <w:r>
        <w:rPr>
          <w:rFonts w:ascii="Times New Roman" w:hAnsi="Times New Roman" w:eastAsia="Times New Roman"/>
          <w:b w:val="0"/>
          <w:i w:val="0"/>
          <w:sz w:val="22"/>
        </w:rPr>
        <w:t>1) 50-KM1 — Lygre KB et al., BJS Open 2024 (non-metastatic post-op MRD, RFS; positive n = 5, negative n = 45). Re-reading the source Table 3 and figure established that all five ctDNA-positive patients recurred within 10.2 months (RFS 41, 105, 186, 259 and 310 days; mean 0.5 year, as reported), giving a positive 12- and 24-month CIR of 100% (n = 5; Wilson 95% CI ≈ 57–100%); the negative arm had 7 recurrences among 45. The reconstructed unadjusted HR is 76.9 (95% CI 10.4–566; ridge) versus the reported adjusted HR of 172.9; arm MAE is 0.033 (positive) and 0.016 (negative). The arm enters the primary post-op MRD cell with essentially zero logit weight (CIR = 100%), so the pooled positive 12-month CIR is unchanged when it is omitted (53.2% with and without; see sensitivity_excl_flagged).</w:t>
      </w:r>
    </w:p>
    <w:p>
      <w:pPr>
        <w:jc w:val="both"/>
      </w:pPr>
      <w:r>
        <w:rPr>
          <w:rFonts w:ascii="Times New Roman" w:hAnsi="Times New Roman" w:eastAsia="Times New Roman"/>
          <w:b w:val="0"/>
          <w:i w:val="0"/>
          <w:sz w:val="22"/>
        </w:rPr>
        <w:t>2) 30-KM3e — Zhou J et al., EBioMedicine 2025 (LARC pre-op, PFS; positive n = 35 with 13 events, negative n = 68 with 6 events). Re-digitisation restored the late plateau; the reconstructed unadjusted HR is 5.03 (95% CI 1.91–13.25) versus the reported 4.39, with arm MAE 0.014 (positive) and 0.003 (negative).</w:t>
      </w:r>
    </w:p>
    <w:p>
      <w:pPr>
        <w:jc w:val="both"/>
      </w:pPr>
      <w:r>
        <w:rPr>
          <w:rFonts w:ascii="Times New Roman" w:hAnsi="Times New Roman" w:eastAsia="Times New Roman"/>
          <w:b w:val="0"/>
          <w:i w:val="0"/>
          <w:sz w:val="22"/>
        </w:rPr>
        <w:t>3) 30-KM3f — Zhou J et al., EBioMedicine 2025 (LARC pre-op, OS; positive n = 35 with 8 events, negative n = 68 with 6 events). The negative-arm terminal step at ~60.5 months (risk set 11, three events) is now captured as a single concentrated step to a 0.70 plateau instead of being smeared across 60–69 months; the reconstructed unadjusted HR is 2.70 (95% CI 0.93–7.85) versus the reported Cox HR of 5.61, with arm MAE 0.010 (positive) and 0.009 (negative).</w:t>
      </w:r>
    </w:p>
    <w:p>
      <w:pPr>
        <w:jc w:val="both"/>
      </w:pPr>
      <w:r>
        <w:rPr>
          <w:rFonts w:ascii="Times New Roman" w:hAnsi="Times New Roman" w:eastAsia="Times New Roman"/>
          <w:b w:val="0"/>
          <w:i w:val="0"/>
          <w:sz w:val="22"/>
        </w:rPr>
        <w:t>After these corrections no arm carries a SEVERE NAR flag. Four arms retain a MINOR NAR flag (Newhook 2023, 27-KM1A/KM1C/KM1D; Mo S 2023, 4-KM-S3C; violation 0.06–0.105): their event counts and curve endpoints are consistent with their NAR tables and only small early-time geometry deviations remain, so they are retained with a footnote. Two further arms (Akiyoshi 2025, 6-KM5B, positive n = 3; Li P 2026, 37-KM3A, negative n = 9) are labelled sparse-NAR/timing-only: with only a baseline and a terminal NAR entry their within-interval timing is not identifiable, and they are used for pooled estimates only with no positive point estimate.</w:t>
      </w:r>
    </w:p>
    <w:p>
      <w:pPr>
        <w:spacing w:before="200" w:after="80"/>
      </w:pPr>
      <w:r>
        <w:rPr>
          <w:rFonts w:ascii="Times New Roman" w:hAnsi="Times New Roman" w:eastAsia="Times New Roman"/>
          <w:b/>
          <w:i w:val="0"/>
          <w:sz w:val="24"/>
        </w:rPr>
        <w:t>Figure legend</w:t>
      </w:r>
    </w:p>
    <w:p>
      <w:pPr>
        <w:jc w:val="both"/>
      </w:pPr>
      <w:r>
        <w:rPr>
          <w:rFonts w:ascii="Times New Roman" w:hAnsi="Times New Roman" w:eastAsia="Times New Roman"/>
          <w:b w:val="0"/>
          <w:i w:val="0"/>
          <w:sz w:val="22"/>
        </w:rPr>
        <w:t>Figure S__. Reconstruction-validation overlays for all 95 two-state comparisons (one panel per comparison; panels are ordered as in 00_index.csv). Open circles are the digitised points of the source Kaplan–Meier curve and solid step lines are the Kaplan–Meier curves re-estimated from the reconstructed IPD; red denotes the ctDNA-positive/high-risk arm and dark blue the ctDNA-negative/low-risk arm. Each legend entry reports the arm sample size (n), the number of events and the within-window overlay MAE. The upper-right box reports the reconstructed unadjusted HR (95% CI) and, where available, the source-reported HR and its type. A banner at the foot of a panel identifies an arm whose digitised points are mathematically inconsistent with its number-at-risk table (digitization_flags). The median arm MAE was 0.02, 98.9% of arms had an MAE ≤ 0.10 and all arms had an MAE ≤ 0.15; after source verification no panel carries a SEVERE banner.</w:t>
      </w:r>
    </w:p>
    <w:p>
      <w:pPr>
        <w:spacing w:before="200" w:after="80"/>
      </w:pPr>
      <w:r>
        <w:rPr>
          <w:rFonts w:ascii="Times New Roman" w:hAnsi="Times New Roman" w:eastAsia="Times New Roman"/>
          <w:b/>
          <w:i w:val="0"/>
          <w:sz w:val="24"/>
        </w:rPr>
        <w:t>Table legends (workbook S3_KM_reconstruction_HR_validation.xlsx)</w:t>
      </w:r>
    </w:p>
    <w:tbl>
      <w:tblPr>
        <w:tblStyle w:val="TableGrid"/>
        <w:tblW w:type="auto" w:w="0"/>
        <w:tblLook w:firstColumn="1" w:firstRow="1" w:lastColumn="0" w:lastRow="0" w:noHBand="0" w:noVBand="1" w:val="04A0"/>
      </w:tblPr>
      <w:tblGrid>
        <w:gridCol w:w="2880"/>
        <w:gridCol w:w="2880"/>
        <w:gridCol w:w="2880"/>
      </w:tblGrid>
      <w:tr>
        <w:tc>
          <w:tcPr>
            <w:tcW w:type="dxa" w:w="2381"/>
          </w:tcPr>
          <w:p>
            <w:r/>
            <w:r>
              <w:rPr>
                <w:rFonts w:ascii="Times New Roman" w:hAnsi="Times New Roman" w:eastAsia="Times New Roman"/>
                <w:b/>
                <w:i w:val="0"/>
                <w:sz w:val="19"/>
              </w:rPr>
              <w:t>Worksheet</w:t>
            </w:r>
          </w:p>
        </w:tc>
        <w:tc>
          <w:tcPr>
            <w:tcW w:type="dxa" w:w="907"/>
          </w:tcPr>
          <w:p>
            <w:r/>
            <w:r>
              <w:rPr>
                <w:rFonts w:ascii="Times New Roman" w:hAnsi="Times New Roman" w:eastAsia="Times New Roman"/>
                <w:b/>
                <w:i w:val="0"/>
                <w:sz w:val="19"/>
              </w:rPr>
              <w:t>Rows</w:t>
            </w:r>
          </w:p>
        </w:tc>
        <w:tc>
          <w:tcPr>
            <w:tcW w:type="dxa" w:w="6236"/>
          </w:tcPr>
          <w:p>
            <w:r/>
            <w:r>
              <w:rPr>
                <w:rFonts w:ascii="Times New Roman" w:hAnsi="Times New Roman" w:eastAsia="Times New Roman"/>
                <w:b/>
                <w:i w:val="0"/>
                <w:sz w:val="19"/>
              </w:rPr>
              <w:t>Contents</w:t>
            </w:r>
          </w:p>
        </w:tc>
      </w:tr>
      <w:tr>
        <w:tc>
          <w:tcPr>
            <w:tcW w:type="dxa" w:w="2381"/>
          </w:tcPr>
          <w:p>
            <w:r/>
            <w:r>
              <w:rPr>
                <w:rFonts w:ascii="Times New Roman" w:hAnsi="Times New Roman" w:eastAsia="Times New Roman"/>
                <w:b w:val="0"/>
                <w:i w:val="0"/>
                <w:sz w:val="19"/>
              </w:rPr>
              <w:t>HR_comparison</w:t>
            </w:r>
          </w:p>
        </w:tc>
        <w:tc>
          <w:tcPr>
            <w:tcW w:type="dxa" w:w="907"/>
          </w:tcPr>
          <w:p>
            <w:r>
              <w:t>95</w:t>
            </w:r>
            <w:r>
              <w:rPr>
                <w:rFonts w:ascii="Times New Roman" w:hAnsi="Times New Roman" w:eastAsia="Times New Roman"/>
                <w:b w:val="0"/>
                <w:i w:val="0"/>
                <w:sz w:val="19"/>
              </w:rPr>
            </w:r>
          </w:p>
        </w:tc>
        <w:tc>
          <w:tcPr>
            <w:tcW w:type="dxa" w:w="6236"/>
          </w:tcPr>
          <w:p>
            <w:r/>
            <w:r>
              <w:rPr>
                <w:rFonts w:ascii="Times New Roman" w:hAnsi="Times New Roman" w:eastAsia="Times New Roman"/>
                <w:b w:val="0"/>
                <w:i w:val="0"/>
                <w:sz w:val="19"/>
              </w:rPr>
              <w:t>One row per comparison: arm sizes/event counts, reconstructed unadjusted Cox HR (95% CI, method), source-reported HR and type, within-CI/direction/reciprocal flags, log-HR difference, relative bias and agreement.</w:t>
            </w:r>
          </w:p>
        </w:tc>
      </w:tr>
      <w:tr>
        <w:tc>
          <w:tcPr>
            <w:tcW w:type="dxa" w:w="2381"/>
          </w:tcPr>
          <w:p>
            <w:r/>
            <w:r>
              <w:rPr>
                <w:rFonts w:ascii="Times New Roman" w:hAnsi="Times New Roman" w:eastAsia="Times New Roman"/>
                <w:b w:val="0"/>
                <w:i w:val="0"/>
                <w:sz w:val="19"/>
              </w:rPr>
              <w:t>arm_fit_quality</w:t>
            </w:r>
          </w:p>
        </w:tc>
        <w:tc>
          <w:tcPr>
            <w:tcW w:type="dxa" w:w="907"/>
          </w:tcPr>
          <w:p>
            <w:r>
              <w:t>190</w:t>
            </w:r>
            <w:r>
              <w:rPr>
                <w:rFonts w:ascii="Times New Roman" w:hAnsi="Times New Roman" w:eastAsia="Times New Roman"/>
                <w:b w:val="0"/>
                <w:i w:val="0"/>
                <w:sz w:val="19"/>
              </w:rPr>
            </w:r>
          </w:p>
        </w:tc>
        <w:tc>
          <w:tcPr>
            <w:tcW w:type="dxa" w:w="6236"/>
          </w:tcPr>
          <w:p>
            <w:r/>
            <w:r>
              <w:rPr>
                <w:rFonts w:ascii="Times New Roman" w:hAnsi="Times New Roman" w:eastAsia="Times New Roman"/>
                <w:b w:val="0"/>
                <w:i w:val="0"/>
                <w:sz w:val="19"/>
              </w:rPr>
              <w:t>One row per arm: number of digitised points, overlay MAE and maximum absolute error, NAR violation and time, and the digitization flag (ok / RE-CHECK / sparse).</w:t>
            </w:r>
          </w:p>
        </w:tc>
      </w:tr>
      <w:tr>
        <w:tc>
          <w:tcPr>
            <w:tcW w:type="dxa" w:w="2381"/>
          </w:tcPr>
          <w:p>
            <w:r/>
            <w:r>
              <w:rPr>
                <w:rFonts w:ascii="Times New Roman" w:hAnsi="Times New Roman" w:eastAsia="Times New Roman"/>
                <w:b w:val="0"/>
                <w:i w:val="0"/>
                <w:sz w:val="19"/>
              </w:rPr>
              <w:t>digitization_flags</w:t>
            </w:r>
          </w:p>
        </w:tc>
        <w:tc>
          <w:tcPr>
            <w:tcW w:type="dxa" w:w="907"/>
          </w:tcPr>
          <w:p>
            <w:r>
              <w:t>4</w:t>
            </w:r>
            <w:r>
              <w:rPr>
                <w:rFonts w:ascii="Times New Roman" w:hAnsi="Times New Roman" w:eastAsia="Times New Roman"/>
                <w:b w:val="0"/>
                <w:i w:val="0"/>
                <w:sz w:val="19"/>
              </w:rPr>
            </w:r>
          </w:p>
        </w:tc>
        <w:tc>
          <w:tcPr>
            <w:tcW w:type="dxa" w:w="6236"/>
          </w:tcPr>
          <w:p>
            <w:r>
              <w:t>The four arms with MINOR NAR violations (retained with a footnote); the two sparse-NAR/timing-only arms are described in the methods text.</w:t>
            </w:r>
            <w:r>
              <w:rPr>
                <w:rFonts w:ascii="Times New Roman" w:hAnsi="Times New Roman" w:eastAsia="Times New Roman"/>
                <w:b w:val="0"/>
                <w:i w:val="0"/>
                <w:sz w:val="19"/>
              </w:rPr>
            </w:r>
          </w:p>
        </w:tc>
      </w:tr>
      <w:tr>
        <w:tc>
          <w:tcPr>
            <w:tcW w:type="dxa" w:w="2381"/>
          </w:tcPr>
          <w:p>
            <w:r/>
            <w:r>
              <w:rPr>
                <w:rFonts w:ascii="Times New Roman" w:hAnsi="Times New Roman" w:eastAsia="Times New Roman"/>
                <w:b w:val="0"/>
                <w:i w:val="0"/>
                <w:sz w:val="19"/>
              </w:rPr>
              <w:t>sensitivity_excl_flagged</w:t>
            </w:r>
          </w:p>
        </w:tc>
        <w:tc>
          <w:tcPr>
            <w:tcW w:type="dxa" w:w="907"/>
          </w:tcPr>
          <w:p>
            <w:r>
              <w:t>7</w:t>
            </w:r>
            <w:r>
              <w:rPr>
                <w:rFonts w:ascii="Times New Roman" w:hAnsi="Times New Roman" w:eastAsia="Times New Roman"/>
                <w:b w:val="0"/>
                <w:i w:val="0"/>
                <w:sz w:val="19"/>
              </w:rPr>
            </w:r>
          </w:p>
        </w:tc>
        <w:tc>
          <w:tcPr>
            <w:tcW w:type="dxa" w:w="6236"/>
          </w:tcPr>
          <w:p>
            <w:r>
              <w:t>Approximate two-stage leave-one-out analysis quantifying the influence of Lygre 2024 (50-KM1): primary vs exclusion for the positive arm at 12 and 24 months; the 12-month estimate was 54.4% including versus 53.2% excluding Lygre.</w:t>
            </w:r>
            <w:r>
              <w:rPr>
                <w:rFonts w:ascii="Times New Roman" w:hAnsi="Times New Roman" w:eastAsia="Times New Roman"/>
                <w:b w:val="0"/>
                <w:i w:val="0"/>
                <w:sz w:val="19"/>
              </w:rPr>
            </w:r>
          </w:p>
        </w:tc>
      </w:tr>
      <w:tr>
        <w:tc>
          <w:tcPr>
            <w:tcW w:type="dxa" w:w="2381"/>
          </w:tcPr>
          <w:p>
            <w:r/>
            <w:r>
              <w:rPr>
                <w:rFonts w:ascii="Times New Roman" w:hAnsi="Times New Roman" w:eastAsia="Times New Roman"/>
                <w:b w:val="0"/>
                <w:i w:val="0"/>
                <w:sz w:val="19"/>
              </w:rPr>
              <w:t>summary</w:t>
            </w:r>
          </w:p>
        </w:tc>
        <w:tc>
          <w:tcPr>
            <w:tcW w:type="dxa" w:w="907"/>
          </w:tcPr>
          <w:p>
            <w:r/>
            <w:r>
              <w:rPr>
                <w:rFonts w:ascii="Times New Roman" w:hAnsi="Times New Roman" w:eastAsia="Times New Roman"/>
                <w:b w:val="0"/>
                <w:i w:val="0"/>
                <w:sz w:val="19"/>
              </w:rPr>
              <w:t>17</w:t>
            </w:r>
          </w:p>
        </w:tc>
        <w:tc>
          <w:tcPr>
            <w:tcW w:type="dxa" w:w="6236"/>
          </w:tcPr>
          <w:p>
            <w:r>
              <w:t>Headline validation counts and percentages (95 comparisons; 86/86 HR agreement; 79 same-calibre unadjusted with Spearman 0.95; MAE ≤ 0.10 in 188/190).</w:t>
            </w:r>
            <w:r>
              <w:rPr>
                <w:rFonts w:ascii="Times New Roman" w:hAnsi="Times New Roman" w:eastAsia="Times New Roman"/>
                <w:b w:val="0"/>
                <w:i w:val="0"/>
                <w:sz w:val="19"/>
              </w:rPr>
            </w:r>
          </w:p>
        </w:tc>
      </w:tr>
      <w:tr>
        <w:tc>
          <w:tcPr>
            <w:tcW w:type="dxa" w:w="2381"/>
          </w:tcPr>
          <w:p>
            <w:r/>
            <w:r>
              <w:rPr>
                <w:rFonts w:ascii="Times New Roman" w:hAnsi="Times New Roman" w:eastAsia="Times New Roman"/>
                <w:b w:val="0"/>
                <w:i w:val="0"/>
                <w:sz w:val="19"/>
              </w:rPr>
              <w:t>by_hr_type</w:t>
            </w:r>
          </w:p>
        </w:tc>
        <w:tc>
          <w:tcPr>
            <w:tcW w:type="dxa" w:w="907"/>
          </w:tcPr>
          <w:p>
            <w:r/>
            <w:r>
              <w:rPr>
                <w:rFonts w:ascii="Times New Roman" w:hAnsi="Times New Roman" w:eastAsia="Times New Roman"/>
                <w:b w:val="0"/>
                <w:i w:val="0"/>
                <w:sz w:val="19"/>
              </w:rPr>
              <w:t>4</w:t>
            </w:r>
          </w:p>
        </w:tc>
        <w:tc>
          <w:tcPr>
            <w:tcW w:type="dxa" w:w="6236"/>
          </w:tcPr>
          <w:p>
            <w:r/>
            <w:r>
              <w:rPr>
                <w:rFonts w:ascii="Times New Roman" w:hAnsi="Times New Roman" w:eastAsia="Times New Roman"/>
                <w:b w:val="0"/>
                <w:i w:val="0"/>
                <w:sz w:val="19"/>
              </w:rPr>
              <w:t>Agreement and median absolute log-HR difference stratified by the source HR type (Cox, univariable, adjusted, multivariable).</w:t>
            </w:r>
          </w:p>
        </w:tc>
      </w:tr>
      <w:tr>
        <w:tc>
          <w:tcPr>
            <w:tcW w:type="dxa" w:w="2381"/>
          </w:tcPr>
          <w:p>
            <w:r/>
            <w:r>
              <w:rPr>
                <w:rFonts w:ascii="Times New Roman" w:hAnsi="Times New Roman" w:eastAsia="Times New Roman"/>
                <w:b w:val="0"/>
                <w:i w:val="0"/>
                <w:sz w:val="19"/>
              </w:rPr>
              <w:t>HR_mismatches</w:t>
            </w:r>
          </w:p>
        </w:tc>
        <w:tc>
          <w:tcPr>
            <w:tcW w:type="dxa" w:w="907"/>
          </w:tcPr>
          <w:p>
            <w:r/>
            <w:r>
              <w:rPr>
                <w:rFonts w:ascii="Times New Roman" w:hAnsi="Times New Roman" w:eastAsia="Times New Roman"/>
                <w:b w:val="0"/>
                <w:i w:val="0"/>
                <w:sz w:val="19"/>
              </w:rPr>
              <w:t>0</w:t>
            </w:r>
          </w:p>
        </w:tc>
        <w:tc>
          <w:tcPr>
            <w:tcW w:type="dxa" w:w="6236"/>
          </w:tcPr>
          <w:p>
            <w:r/>
            <w:r>
              <w:rPr>
                <w:rFonts w:ascii="Times New Roman" w:hAnsi="Times New Roman" w:eastAsia="Times New Roman"/>
                <w:b w:val="0"/>
                <w:i w:val="0"/>
                <w:sz w:val="19"/>
              </w:rPr>
              <w:t>Empty after source verification: no comparison with a numeric source HR lies outside the reconstructed interval or its reciprocal.</w:t>
            </w:r>
          </w:p>
        </w:tc>
      </w:tr>
      <w:tr>
        <w:tc>
          <w:tcPr>
            <w:tcW w:type="dxa" w:w="2381"/>
          </w:tcPr>
          <w:p>
            <w:r/>
            <w:r>
              <w:rPr>
                <w:rFonts w:ascii="Times New Roman" w:hAnsi="Times New Roman" w:eastAsia="Times New Roman"/>
                <w:b w:val="0"/>
                <w:i w:val="0"/>
                <w:sz w:val="19"/>
              </w:rPr>
              <w:t>S3_timepoint_cloglog</w:t>
            </w:r>
          </w:p>
        </w:tc>
        <w:tc>
          <w:tcPr>
            <w:tcW w:type="dxa" w:w="907"/>
          </w:tcPr>
          <w:p>
            <w:r>
              <w:t>67</w:t>
            </w:r>
            <w:r>
              <w:rPr>
                <w:rFonts w:ascii="Times New Roman" w:hAnsi="Times New Roman" w:eastAsia="Times New Roman"/>
                <w:b w:val="0"/>
                <w:i w:val="0"/>
                <w:sz w:val="19"/>
              </w:rPr>
            </w:r>
          </w:p>
        </w:tc>
        <w:tc>
          <w:tcPr>
            <w:tcW w:type="dxa" w:w="6236"/>
          </w:tcPr>
          <w:p>
            <w:r/>
            <w:r>
              <w:rPr>
                <w:rFonts w:ascii="Times New Roman" w:hAnsi="Times New Roman" w:eastAsia="Times New Roman"/>
                <w:b w:val="0"/>
                <w:i w:val="0"/>
                <w:sz w:val="19"/>
              </w:rPr>
              <w:t>Time-point complementary-log-log (log-HR) archive underlying the reconstructed HRs at the reported landmarks.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