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697" w:rsidRDefault="00A307EB" w:rsidP="00A307EB">
      <w:pPr>
        <w:ind w:left="-360"/>
      </w:pPr>
      <w:r>
        <w:rPr>
          <w:noProof/>
        </w:rPr>
        <w:drawing>
          <wp:inline distT="0" distB="0" distL="0" distR="0" wp14:anchorId="3CD07511" wp14:editId="24678F35">
            <wp:extent cx="6057900" cy="4343400"/>
            <wp:effectExtent l="0" t="0" r="12700" b="25400"/>
            <wp:docPr id="1" name="Chart 1" title="Sample App Stress Tes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307EB" w:rsidRDefault="00A307EB" w:rsidP="00A307EB">
      <w:pPr>
        <w:ind w:left="-360"/>
      </w:pPr>
    </w:p>
    <w:p w:rsidR="00A307EB" w:rsidRDefault="00A307EB" w:rsidP="00A307EB">
      <w:pPr>
        <w:ind w:left="-360"/>
      </w:pPr>
    </w:p>
    <w:p w:rsidR="00A307EB" w:rsidRDefault="00A307EB" w:rsidP="00A307EB">
      <w:pPr>
        <w:ind w:left="-360"/>
      </w:pPr>
      <w:r>
        <w:t>Stress test was run using Apache Benchmark.  The test ran 10,000 to 2,000,000 requests with the concurrency of 100 to 20,000.  The concurrency values are in the chart above.  The maximum and mean values are below 100 milliseconds for concurrencies below 1000.  Above 1000 concurrent request,</w:t>
      </w:r>
      <w:bookmarkStart w:id="0" w:name="_GoBack"/>
      <w:bookmarkEnd w:id="0"/>
      <w:r>
        <w:t xml:space="preserve"> the timings become a bit erratic, however, all values remained sub-second.</w:t>
      </w:r>
    </w:p>
    <w:sectPr w:rsidR="00A307EB" w:rsidSect="008649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EB"/>
    <w:rsid w:val="007B7697"/>
    <w:rsid w:val="008649FB"/>
    <w:rsid w:val="00A30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7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7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7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7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7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Sample</a:t>
            </a:r>
            <a:r>
              <a:rPr lang="en-US" baseline="0"/>
              <a:t> App Stress Test</a:t>
            </a:r>
            <a:endParaRPr lang="en-US"/>
          </a:p>
        </c:rich>
      </c:tx>
      <c:layout/>
      <c:overlay val="0"/>
    </c:title>
    <c:autoTitleDeleted val="0"/>
    <c:plotArea>
      <c:layout/>
      <c:lineChart>
        <c:grouping val="standard"/>
        <c:varyColors val="0"/>
        <c:ser>
          <c:idx val="0"/>
          <c:order val="0"/>
          <c:tx>
            <c:strRef>
              <c:f>stress.csv!$C$2</c:f>
              <c:strCache>
                <c:ptCount val="1"/>
                <c:pt idx="0">
                  <c:v>min</c:v>
                </c:pt>
              </c:strCache>
            </c:strRef>
          </c:tx>
          <c:marker>
            <c:symbol val="none"/>
          </c:marker>
          <c:cat>
            <c:numRef>
              <c:f>stress.csv!$D$1:$P$1</c:f>
              <c:numCache>
                <c:formatCode>General</c:formatCode>
                <c:ptCount val="13"/>
                <c:pt idx="0">
                  <c:v>100.0</c:v>
                </c:pt>
                <c:pt idx="1">
                  <c:v>250.0</c:v>
                </c:pt>
                <c:pt idx="2">
                  <c:v>500.0</c:v>
                </c:pt>
                <c:pt idx="3">
                  <c:v>750.0</c:v>
                </c:pt>
                <c:pt idx="4">
                  <c:v>1000.0</c:v>
                </c:pt>
                <c:pt idx="5">
                  <c:v>2500.0</c:v>
                </c:pt>
                <c:pt idx="6">
                  <c:v>5000.0</c:v>
                </c:pt>
                <c:pt idx="7">
                  <c:v>7500.0</c:v>
                </c:pt>
                <c:pt idx="8">
                  <c:v>10000.0</c:v>
                </c:pt>
                <c:pt idx="9">
                  <c:v>12500.0</c:v>
                </c:pt>
                <c:pt idx="10">
                  <c:v>15000.0</c:v>
                </c:pt>
                <c:pt idx="11">
                  <c:v>17500.0</c:v>
                </c:pt>
                <c:pt idx="12">
                  <c:v>20000.0</c:v>
                </c:pt>
              </c:numCache>
            </c:numRef>
          </c:cat>
          <c:val>
            <c:numRef>
              <c:f>stress.csv!$D$2:$P$2</c:f>
              <c:numCache>
                <c:formatCode>General</c:formatCode>
                <c:ptCount val="13"/>
                <c:pt idx="0">
                  <c:v>4.0</c:v>
                </c:pt>
                <c:pt idx="1">
                  <c:v>2.0</c:v>
                </c:pt>
                <c:pt idx="2">
                  <c:v>3.0</c:v>
                </c:pt>
                <c:pt idx="3">
                  <c:v>20.0</c:v>
                </c:pt>
                <c:pt idx="4">
                  <c:v>37.0</c:v>
                </c:pt>
                <c:pt idx="5">
                  <c:v>114.0</c:v>
                </c:pt>
                <c:pt idx="6">
                  <c:v>368.0</c:v>
                </c:pt>
                <c:pt idx="7">
                  <c:v>288.0</c:v>
                </c:pt>
                <c:pt idx="8">
                  <c:v>368.0</c:v>
                </c:pt>
                <c:pt idx="9">
                  <c:v>62.0</c:v>
                </c:pt>
                <c:pt idx="10">
                  <c:v>446.0</c:v>
                </c:pt>
                <c:pt idx="11">
                  <c:v>565.0</c:v>
                </c:pt>
                <c:pt idx="12">
                  <c:v>623.0</c:v>
                </c:pt>
              </c:numCache>
            </c:numRef>
          </c:val>
          <c:smooth val="0"/>
        </c:ser>
        <c:ser>
          <c:idx val="1"/>
          <c:order val="1"/>
          <c:tx>
            <c:strRef>
              <c:f>stress.csv!$C$3</c:f>
              <c:strCache>
                <c:ptCount val="1"/>
                <c:pt idx="0">
                  <c:v>mean</c:v>
                </c:pt>
              </c:strCache>
            </c:strRef>
          </c:tx>
          <c:marker>
            <c:symbol val="none"/>
          </c:marker>
          <c:cat>
            <c:numRef>
              <c:f>stress.csv!$D$1:$P$1</c:f>
              <c:numCache>
                <c:formatCode>General</c:formatCode>
                <c:ptCount val="13"/>
                <c:pt idx="0">
                  <c:v>100.0</c:v>
                </c:pt>
                <c:pt idx="1">
                  <c:v>250.0</c:v>
                </c:pt>
                <c:pt idx="2">
                  <c:v>500.0</c:v>
                </c:pt>
                <c:pt idx="3">
                  <c:v>750.0</c:v>
                </c:pt>
                <c:pt idx="4">
                  <c:v>1000.0</c:v>
                </c:pt>
                <c:pt idx="5">
                  <c:v>2500.0</c:v>
                </c:pt>
                <c:pt idx="6">
                  <c:v>5000.0</c:v>
                </c:pt>
                <c:pt idx="7">
                  <c:v>7500.0</c:v>
                </c:pt>
                <c:pt idx="8">
                  <c:v>10000.0</c:v>
                </c:pt>
                <c:pt idx="9">
                  <c:v>12500.0</c:v>
                </c:pt>
                <c:pt idx="10">
                  <c:v>15000.0</c:v>
                </c:pt>
                <c:pt idx="11">
                  <c:v>17500.0</c:v>
                </c:pt>
                <c:pt idx="12">
                  <c:v>20000.0</c:v>
                </c:pt>
              </c:numCache>
            </c:numRef>
          </c:cat>
          <c:val>
            <c:numRef>
              <c:f>stress.csv!$D$3:$P$3</c:f>
              <c:numCache>
                <c:formatCode>General</c:formatCode>
                <c:ptCount val="13"/>
                <c:pt idx="0">
                  <c:v>11.0</c:v>
                </c:pt>
                <c:pt idx="1">
                  <c:v>14.0</c:v>
                </c:pt>
                <c:pt idx="2">
                  <c:v>17.0</c:v>
                </c:pt>
                <c:pt idx="3">
                  <c:v>33.0</c:v>
                </c:pt>
                <c:pt idx="4">
                  <c:v>51.0</c:v>
                </c:pt>
                <c:pt idx="5">
                  <c:v>157.0</c:v>
                </c:pt>
                <c:pt idx="6">
                  <c:v>444.0</c:v>
                </c:pt>
                <c:pt idx="7">
                  <c:v>469.0</c:v>
                </c:pt>
                <c:pt idx="8">
                  <c:v>444.0</c:v>
                </c:pt>
                <c:pt idx="9">
                  <c:v>428.0</c:v>
                </c:pt>
                <c:pt idx="10">
                  <c:v>531.0</c:v>
                </c:pt>
                <c:pt idx="11">
                  <c:v>656.0</c:v>
                </c:pt>
                <c:pt idx="12">
                  <c:v>730.0</c:v>
                </c:pt>
              </c:numCache>
            </c:numRef>
          </c:val>
          <c:smooth val="0"/>
        </c:ser>
        <c:ser>
          <c:idx val="3"/>
          <c:order val="2"/>
          <c:tx>
            <c:strRef>
              <c:f>stress.csv!$C$5</c:f>
              <c:strCache>
                <c:ptCount val="1"/>
                <c:pt idx="0">
                  <c:v>median</c:v>
                </c:pt>
              </c:strCache>
            </c:strRef>
          </c:tx>
          <c:marker>
            <c:symbol val="none"/>
          </c:marker>
          <c:cat>
            <c:numRef>
              <c:f>stress.csv!$D$1:$P$1</c:f>
              <c:numCache>
                <c:formatCode>General</c:formatCode>
                <c:ptCount val="13"/>
                <c:pt idx="0">
                  <c:v>100.0</c:v>
                </c:pt>
                <c:pt idx="1">
                  <c:v>250.0</c:v>
                </c:pt>
                <c:pt idx="2">
                  <c:v>500.0</c:v>
                </c:pt>
                <c:pt idx="3">
                  <c:v>750.0</c:v>
                </c:pt>
                <c:pt idx="4">
                  <c:v>1000.0</c:v>
                </c:pt>
                <c:pt idx="5">
                  <c:v>2500.0</c:v>
                </c:pt>
                <c:pt idx="6">
                  <c:v>5000.0</c:v>
                </c:pt>
                <c:pt idx="7">
                  <c:v>7500.0</c:v>
                </c:pt>
                <c:pt idx="8">
                  <c:v>10000.0</c:v>
                </c:pt>
                <c:pt idx="9">
                  <c:v>12500.0</c:v>
                </c:pt>
                <c:pt idx="10">
                  <c:v>15000.0</c:v>
                </c:pt>
                <c:pt idx="11">
                  <c:v>17500.0</c:v>
                </c:pt>
                <c:pt idx="12">
                  <c:v>20000.0</c:v>
                </c:pt>
              </c:numCache>
            </c:numRef>
          </c:cat>
          <c:val>
            <c:numRef>
              <c:f>stress.csv!$D$5:$P$5</c:f>
              <c:numCache>
                <c:formatCode>General</c:formatCode>
                <c:ptCount val="13"/>
                <c:pt idx="0">
                  <c:v>11.0</c:v>
                </c:pt>
                <c:pt idx="1">
                  <c:v>15.0</c:v>
                </c:pt>
                <c:pt idx="2">
                  <c:v>16.0</c:v>
                </c:pt>
                <c:pt idx="3">
                  <c:v>33.0</c:v>
                </c:pt>
                <c:pt idx="4">
                  <c:v>49.0</c:v>
                </c:pt>
                <c:pt idx="5">
                  <c:v>151.0</c:v>
                </c:pt>
                <c:pt idx="6">
                  <c:v>446.0</c:v>
                </c:pt>
                <c:pt idx="7">
                  <c:v>449.0</c:v>
                </c:pt>
                <c:pt idx="8">
                  <c:v>446.0</c:v>
                </c:pt>
                <c:pt idx="9">
                  <c:v>428.0</c:v>
                </c:pt>
                <c:pt idx="10">
                  <c:v>532.0</c:v>
                </c:pt>
                <c:pt idx="11">
                  <c:v>657.0</c:v>
                </c:pt>
                <c:pt idx="12">
                  <c:v>733.0</c:v>
                </c:pt>
              </c:numCache>
            </c:numRef>
          </c:val>
          <c:smooth val="0"/>
        </c:ser>
        <c:ser>
          <c:idx val="4"/>
          <c:order val="3"/>
          <c:tx>
            <c:strRef>
              <c:f>stress.csv!$C$6</c:f>
              <c:strCache>
                <c:ptCount val="1"/>
                <c:pt idx="0">
                  <c:v>max</c:v>
                </c:pt>
              </c:strCache>
            </c:strRef>
          </c:tx>
          <c:marker>
            <c:symbol val="none"/>
          </c:marker>
          <c:cat>
            <c:numRef>
              <c:f>stress.csv!$D$1:$P$1</c:f>
              <c:numCache>
                <c:formatCode>General</c:formatCode>
                <c:ptCount val="13"/>
                <c:pt idx="0">
                  <c:v>100.0</c:v>
                </c:pt>
                <c:pt idx="1">
                  <c:v>250.0</c:v>
                </c:pt>
                <c:pt idx="2">
                  <c:v>500.0</c:v>
                </c:pt>
                <c:pt idx="3">
                  <c:v>750.0</c:v>
                </c:pt>
                <c:pt idx="4">
                  <c:v>1000.0</c:v>
                </c:pt>
                <c:pt idx="5">
                  <c:v>2500.0</c:v>
                </c:pt>
                <c:pt idx="6">
                  <c:v>5000.0</c:v>
                </c:pt>
                <c:pt idx="7">
                  <c:v>7500.0</c:v>
                </c:pt>
                <c:pt idx="8">
                  <c:v>10000.0</c:v>
                </c:pt>
                <c:pt idx="9">
                  <c:v>12500.0</c:v>
                </c:pt>
                <c:pt idx="10">
                  <c:v>15000.0</c:v>
                </c:pt>
                <c:pt idx="11">
                  <c:v>17500.0</c:v>
                </c:pt>
                <c:pt idx="12">
                  <c:v>20000.0</c:v>
                </c:pt>
              </c:numCache>
            </c:numRef>
          </c:cat>
          <c:val>
            <c:numRef>
              <c:f>stress.csv!$D$6:$P$6</c:f>
              <c:numCache>
                <c:formatCode>General</c:formatCode>
                <c:ptCount val="13"/>
                <c:pt idx="0">
                  <c:v>18.0</c:v>
                </c:pt>
                <c:pt idx="1">
                  <c:v>28.0</c:v>
                </c:pt>
                <c:pt idx="2">
                  <c:v>36.0</c:v>
                </c:pt>
                <c:pt idx="3">
                  <c:v>48.0</c:v>
                </c:pt>
                <c:pt idx="4">
                  <c:v>71.0</c:v>
                </c:pt>
                <c:pt idx="5">
                  <c:v>224.0</c:v>
                </c:pt>
                <c:pt idx="6">
                  <c:v>523.0</c:v>
                </c:pt>
                <c:pt idx="7">
                  <c:v>748.0</c:v>
                </c:pt>
                <c:pt idx="8">
                  <c:v>523.0</c:v>
                </c:pt>
                <c:pt idx="9">
                  <c:v>488.0</c:v>
                </c:pt>
                <c:pt idx="10">
                  <c:v>614.0</c:v>
                </c:pt>
                <c:pt idx="11">
                  <c:v>790.0</c:v>
                </c:pt>
                <c:pt idx="12">
                  <c:v>864.0</c:v>
                </c:pt>
              </c:numCache>
            </c:numRef>
          </c:val>
          <c:smooth val="0"/>
        </c:ser>
        <c:dLbls>
          <c:showLegendKey val="0"/>
          <c:showVal val="0"/>
          <c:showCatName val="0"/>
          <c:showSerName val="0"/>
          <c:showPercent val="0"/>
          <c:showBubbleSize val="0"/>
        </c:dLbls>
        <c:marker val="1"/>
        <c:smooth val="0"/>
        <c:axId val="-2115982264"/>
        <c:axId val="-2115976568"/>
      </c:lineChart>
      <c:catAx>
        <c:axId val="-2115982264"/>
        <c:scaling>
          <c:orientation val="minMax"/>
        </c:scaling>
        <c:delete val="0"/>
        <c:axPos val="b"/>
        <c:title>
          <c:tx>
            <c:rich>
              <a:bodyPr/>
              <a:lstStyle/>
              <a:p>
                <a:pPr>
                  <a:defRPr/>
                </a:pPr>
                <a:r>
                  <a:rPr lang="en-US"/>
                  <a:t>Concurrent</a:t>
                </a:r>
                <a:r>
                  <a:rPr lang="en-US" baseline="0"/>
                  <a:t> Requests</a:t>
                </a:r>
              </a:p>
            </c:rich>
          </c:tx>
          <c:layout/>
          <c:overlay val="0"/>
        </c:title>
        <c:numFmt formatCode="General" sourceLinked="1"/>
        <c:majorTickMark val="none"/>
        <c:minorTickMark val="none"/>
        <c:tickLblPos val="nextTo"/>
        <c:crossAx val="-2115976568"/>
        <c:crosses val="autoZero"/>
        <c:auto val="1"/>
        <c:lblAlgn val="ctr"/>
        <c:lblOffset val="100"/>
        <c:noMultiLvlLbl val="0"/>
      </c:catAx>
      <c:valAx>
        <c:axId val="-2115976568"/>
        <c:scaling>
          <c:orientation val="minMax"/>
        </c:scaling>
        <c:delete val="0"/>
        <c:axPos val="l"/>
        <c:majorGridlines/>
        <c:title>
          <c:tx>
            <c:rich>
              <a:bodyPr/>
              <a:lstStyle/>
              <a:p>
                <a:pPr>
                  <a:defRPr/>
                </a:pPr>
                <a:r>
                  <a:rPr lang="en-US"/>
                  <a:t>Time (ms)</a:t>
                </a:r>
              </a:p>
            </c:rich>
          </c:tx>
          <c:layout/>
          <c:overlay val="0"/>
        </c:title>
        <c:numFmt formatCode="General" sourceLinked="1"/>
        <c:majorTickMark val="out"/>
        <c:minorTickMark val="none"/>
        <c:tickLblPos val="nextTo"/>
        <c:spPr>
          <a:noFill/>
          <a:ln w="9525" cap="flat" cmpd="sng" algn="ctr">
            <a:solidFill>
              <a:schemeClr val="dk1">
                <a:shade val="95000"/>
                <a:satMod val="105000"/>
              </a:schemeClr>
            </a:solidFill>
            <a:prstDash val="solid"/>
          </a:ln>
          <a:effectLst/>
        </c:spPr>
        <c:txPr>
          <a:bodyPr/>
          <a:lstStyle/>
          <a:p>
            <a:pPr>
              <a:defRPr>
                <a:solidFill>
                  <a:schemeClr val="tx1"/>
                </a:solidFill>
                <a:latin typeface="+mn-lt"/>
                <a:ea typeface="+mn-ea"/>
                <a:cs typeface="+mn-cs"/>
              </a:defRPr>
            </a:pPr>
            <a:endParaRPr lang="en-US"/>
          </a:p>
        </c:txPr>
        <c:crossAx val="-21159822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55</Words>
  <Characters>316</Characters>
  <Application>Microsoft Macintosh Word</Application>
  <DocSecurity>0</DocSecurity>
  <Lines>2</Lines>
  <Paragraphs>1</Paragraphs>
  <ScaleCrop>false</ScaleCrop>
  <Company>Thomson Reuters</Company>
  <LinksUpToDate>false</LinksUpToDate>
  <CharactersWithSpaces>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Ridings</dc:creator>
  <cp:keywords/>
  <dc:description/>
  <cp:lastModifiedBy>Rob Ridings</cp:lastModifiedBy>
  <cp:revision>1</cp:revision>
  <dcterms:created xsi:type="dcterms:W3CDTF">2016-01-14T03:09:00Z</dcterms:created>
  <dcterms:modified xsi:type="dcterms:W3CDTF">2016-01-14T03:22:00Z</dcterms:modified>
</cp:coreProperties>
</file>