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Supplementary Materials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Manuscript games-4365462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“Engineered Misunderstanding under Psychological Warfare: A Bayesian Signaling Game of Felt-Understanding Collapse in the German Atomausstieg”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257800" cy="26098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09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Figure S1. </w:t>
      </w:r>
      <w:r w:rsidDel="00000000" w:rsidR="00000000" w:rsidRPr="00000000">
        <w:rPr>
          <w:sz w:val="20"/>
          <w:szCs w:val="20"/>
          <w:rtl w:val="0"/>
        </w:rPr>
        <w:t xml:space="preserve">Sensitivity of intervention effectiveness to the stylized parameterization. Long-run action rate under bridge seeding, cost reduction, channel hardening, and the no-intervention baseline, recomputed across six combinations of the prior p, the recognition cost cR, and the recognition payoff uR. The intervention ranking is substantively preserved across the tested combinations: bridge seeding is the strongest intervention or numerically tied with cost reduction, while channel hardening remains the weakest active intervention.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143500" cy="3124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Figure S2.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Robustness of the collapse dynamics to the initial belief μ(0). Long-run action rate as a function of μ(0) at π = 0, showing that the system is bistable: trajectories initialized near the cooperative basin (μ(0) = 0.9) remain cooperative, whereas trajectories initialized at the uninformative prior (μ(0) = 0.5) settle into the collapsed basin.</w:t>
      </w: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