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chitecture-diagram-explanation"/>
    <w:p>
      <w:pPr>
        <w:pStyle w:val="Heading1"/>
      </w:pPr>
      <w:r>
        <w:t xml:space="preserve">Architecture Diagram Explanation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Restaurant Customer Analytics Platform is built using a modern AWS Medallion Architecture consisting of Bronze, Silver, and Gold data layers. The solution enables daily customer analytics, business intelligence reporting, and executive decision-making.</w:t>
      </w:r>
    </w:p>
    <w:p>
      <w:r>
        <w:pict>
          <v:rect style="width:0;height:1.5pt" o:hralign="center" o:hrstd="t" o:hr="t"/>
        </w:pict>
      </w:r>
    </w:p>
    <w:bookmarkEnd w:id="20"/>
    <w:bookmarkStart w:id="21" w:name="source-and-ingestion-layer"/>
    <w:p>
      <w:pPr>
        <w:pStyle w:val="Heading2"/>
      </w:pPr>
      <w:r>
        <w:t xml:space="preserve">Source and Ingestion Layer</w:t>
      </w:r>
    </w:p>
    <w:p>
      <w:pPr>
        <w:pStyle w:val="FirstParagraph"/>
      </w:pPr>
      <w:r>
        <w:t xml:space="preserve">The platform begins with SQL Server source tables containing restaurant transactional data.</w:t>
      </w:r>
    </w:p>
    <w:p>
      <w:pPr>
        <w:pStyle w:val="BodyText"/>
      </w:pPr>
      <w:r>
        <w:t xml:space="preserve">AWS Database Migration Service (DMS) continuously extracts data using Change Data Capture (CDC), allowing incremental updates without requiring full reloads.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1"/>
        </w:numPr>
      </w:pPr>
      <w:r>
        <w:t xml:space="preserve">Near real-time updates</w:t>
      </w:r>
    </w:p>
    <w:p>
      <w:pPr>
        <w:pStyle w:val="Compact"/>
        <w:numPr>
          <w:ilvl w:val="0"/>
          <w:numId w:val="1001"/>
        </w:numPr>
      </w:pPr>
      <w:r>
        <w:t xml:space="preserve">Reduced load on source systems</w:t>
      </w:r>
    </w:p>
    <w:p>
      <w:pPr>
        <w:pStyle w:val="Compact"/>
        <w:numPr>
          <w:ilvl w:val="0"/>
          <w:numId w:val="1001"/>
        </w:numPr>
      </w:pPr>
      <w:r>
        <w:t xml:space="preserve">Automatic retry and recovery</w:t>
      </w:r>
    </w:p>
    <w:p>
      <w:r>
        <w:pict>
          <v:rect style="width:0;height:1.5pt" o:hralign="center" o:hrstd="t" o:hr="t"/>
        </w:pict>
      </w:r>
    </w:p>
    <w:bookmarkEnd w:id="21"/>
    <w:bookmarkStart w:id="22" w:name="bronze-layer"/>
    <w:p>
      <w:pPr>
        <w:pStyle w:val="Heading2"/>
      </w:pPr>
      <w:r>
        <w:t xml:space="preserve">Bronze Layer</w:t>
      </w:r>
    </w:p>
    <w:p>
      <w:pPr>
        <w:pStyle w:val="FirstParagraph"/>
      </w:pPr>
      <w:r>
        <w:t xml:space="preserve">The Bronze layer stores raw source data exactly as received.</w:t>
      </w:r>
    </w:p>
    <w:p>
      <w:pPr>
        <w:pStyle w:val="BodyText"/>
      </w:pPr>
      <w:r>
        <w:t xml:space="preserve">Datasets:</w:t>
      </w:r>
    </w:p>
    <w:p>
      <w:pPr>
        <w:pStyle w:val="Compact"/>
        <w:numPr>
          <w:ilvl w:val="0"/>
          <w:numId w:val="1002"/>
        </w:numPr>
      </w:pPr>
      <w:r>
        <w:t xml:space="preserve">order_items</w:t>
      </w:r>
    </w:p>
    <w:p>
      <w:pPr>
        <w:pStyle w:val="Compact"/>
        <w:numPr>
          <w:ilvl w:val="0"/>
          <w:numId w:val="1002"/>
        </w:numPr>
      </w:pPr>
      <w:r>
        <w:t xml:space="preserve">order_item_options</w:t>
      </w:r>
    </w:p>
    <w:p>
      <w:pPr>
        <w:pStyle w:val="Compact"/>
        <w:numPr>
          <w:ilvl w:val="0"/>
          <w:numId w:val="1002"/>
        </w:numPr>
      </w:pPr>
      <w:r>
        <w:t xml:space="preserve">date_dim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3"/>
        </w:numPr>
      </w:pPr>
      <w:r>
        <w:t xml:space="preserve">Data preservation</w:t>
      </w:r>
    </w:p>
    <w:p>
      <w:pPr>
        <w:pStyle w:val="Compact"/>
        <w:numPr>
          <w:ilvl w:val="0"/>
          <w:numId w:val="1003"/>
        </w:numPr>
      </w:pPr>
      <w:r>
        <w:t xml:space="preserve">Historical auditing</w:t>
      </w:r>
    </w:p>
    <w:p>
      <w:pPr>
        <w:pStyle w:val="Compact"/>
        <w:numPr>
          <w:ilvl w:val="0"/>
          <w:numId w:val="1003"/>
        </w:numPr>
      </w:pPr>
      <w:r>
        <w:t xml:space="preserve">Recovery and replay capability</w:t>
      </w:r>
    </w:p>
    <w:p>
      <w:pPr>
        <w:pStyle w:val="FirstParagraph"/>
      </w:pPr>
      <w:r>
        <w:t xml:space="preserve">All data is encrypted using AWS KMS and versioned in Amazon S3.</w:t>
      </w:r>
    </w:p>
    <w:p>
      <w:r>
        <w:pict>
          <v:rect style="width:0;height:1.5pt" o:hralign="center" o:hrstd="t" o:hr="t"/>
        </w:pict>
      </w:r>
    </w:p>
    <w:bookmarkEnd w:id="22"/>
    <w:bookmarkStart w:id="23" w:name="data-validation"/>
    <w:p>
      <w:pPr>
        <w:pStyle w:val="Heading2"/>
      </w:pPr>
      <w:r>
        <w:t xml:space="preserve">Data Validation</w:t>
      </w:r>
    </w:p>
    <w:p>
      <w:pPr>
        <w:pStyle w:val="FirstParagraph"/>
      </w:pPr>
      <w:r>
        <w:t xml:space="preserve">AWS Glue Data Quality validates incoming datasets.</w:t>
      </w:r>
    </w:p>
    <w:p>
      <w:pPr>
        <w:pStyle w:val="BodyText"/>
      </w:pPr>
      <w:r>
        <w:t xml:space="preserve">Checks include:</w:t>
      </w:r>
    </w:p>
    <w:p>
      <w:pPr>
        <w:pStyle w:val="Compact"/>
        <w:numPr>
          <w:ilvl w:val="0"/>
          <w:numId w:val="1004"/>
        </w:numPr>
      </w:pPr>
      <w:r>
        <w:t xml:space="preserve">Missing values</w:t>
      </w:r>
    </w:p>
    <w:p>
      <w:pPr>
        <w:pStyle w:val="Compact"/>
        <w:numPr>
          <w:ilvl w:val="0"/>
          <w:numId w:val="1004"/>
        </w:numPr>
      </w:pPr>
      <w:r>
        <w:t xml:space="preserve">Null columns</w:t>
      </w:r>
    </w:p>
    <w:p>
      <w:pPr>
        <w:pStyle w:val="Compact"/>
        <w:numPr>
          <w:ilvl w:val="0"/>
          <w:numId w:val="1004"/>
        </w:numPr>
      </w:pPr>
      <w:r>
        <w:t xml:space="preserve">Duplicate records</w:t>
      </w:r>
    </w:p>
    <w:p>
      <w:pPr>
        <w:pStyle w:val="Compact"/>
        <w:numPr>
          <w:ilvl w:val="0"/>
          <w:numId w:val="1004"/>
        </w:numPr>
      </w:pPr>
      <w:r>
        <w:t xml:space="preserve">Schema changes</w:t>
      </w:r>
    </w:p>
    <w:p>
      <w:pPr>
        <w:pStyle w:val="Compact"/>
        <w:numPr>
          <w:ilvl w:val="0"/>
          <w:numId w:val="1004"/>
        </w:numPr>
      </w:pPr>
      <w:r>
        <w:t xml:space="preserve">Key integrity validation</w:t>
      </w:r>
    </w:p>
    <w:p>
      <w:pPr>
        <w:pStyle w:val="FirstParagraph"/>
      </w:pPr>
      <w:r>
        <w:t xml:space="preserve">Validation reports are written to a dedicated S3 audit location.</w:t>
      </w:r>
    </w:p>
    <w:p>
      <w:r>
        <w:pict>
          <v:rect style="width:0;height:1.5pt" o:hralign="center" o:hrstd="t" o:hr="t"/>
        </w:pict>
      </w:r>
    </w:p>
    <w:bookmarkEnd w:id="23"/>
    <w:bookmarkStart w:id="24" w:name="silver-layer"/>
    <w:p>
      <w:pPr>
        <w:pStyle w:val="Heading2"/>
      </w:pPr>
      <w:r>
        <w:t xml:space="preserve">Silver Layer</w:t>
      </w:r>
    </w:p>
    <w:p>
      <w:pPr>
        <w:pStyle w:val="FirstParagraph"/>
      </w:pPr>
      <w:r>
        <w:t xml:space="preserve">The Silver layer contains cleansed and standardized business entities.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customer_orders</w:t>
      </w:r>
    </w:p>
    <w:p>
      <w:pPr>
        <w:pStyle w:val="Compact"/>
        <w:numPr>
          <w:ilvl w:val="0"/>
          <w:numId w:val="1005"/>
        </w:numPr>
      </w:pPr>
      <w:r>
        <w:t xml:space="preserve">customer_daily_metrics</w:t>
      </w:r>
    </w:p>
    <w:p>
      <w:pPr>
        <w:pStyle w:val="Compact"/>
        <w:numPr>
          <w:ilvl w:val="0"/>
          <w:numId w:val="1005"/>
        </w:numPr>
      </w:pPr>
      <w:r>
        <w:t xml:space="preserve">loyalty_metrics</w:t>
      </w:r>
    </w:p>
    <w:p>
      <w:pPr>
        <w:pStyle w:val="Compact"/>
        <w:numPr>
          <w:ilvl w:val="0"/>
          <w:numId w:val="1005"/>
        </w:numPr>
      </w:pPr>
      <w:r>
        <w:t xml:space="preserve">location_metrics</w:t>
      </w:r>
    </w:p>
    <w:p>
      <w:pPr>
        <w:pStyle w:val="FirstParagraph"/>
      </w:pPr>
      <w:r>
        <w:t xml:space="preserve">Data is stored in Parquet format and partitioned for performance optimization.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Improved query performance</w:t>
      </w:r>
    </w:p>
    <w:p>
      <w:pPr>
        <w:pStyle w:val="Compact"/>
        <w:numPr>
          <w:ilvl w:val="0"/>
          <w:numId w:val="1006"/>
        </w:numPr>
      </w:pPr>
      <w:r>
        <w:t xml:space="preserve">Standardized business logic</w:t>
      </w:r>
    </w:p>
    <w:p>
      <w:pPr>
        <w:pStyle w:val="Compact"/>
        <w:numPr>
          <w:ilvl w:val="0"/>
          <w:numId w:val="1006"/>
        </w:numPr>
      </w:pPr>
      <w:r>
        <w:t xml:space="preserve">Reusable datasets</w:t>
      </w:r>
    </w:p>
    <w:p>
      <w:r>
        <w:pict>
          <v:rect style="width:0;height:1.5pt" o:hralign="center" o:hrstd="t" o:hr="t"/>
        </w:pict>
      </w:r>
    </w:p>
    <w:bookmarkEnd w:id="24"/>
    <w:bookmarkStart w:id="25" w:name="gold-layer"/>
    <w:p>
      <w:pPr>
        <w:pStyle w:val="Heading2"/>
      </w:pPr>
      <w:r>
        <w:t xml:space="preserve">Gold Layer</w:t>
      </w:r>
    </w:p>
    <w:p>
      <w:pPr>
        <w:pStyle w:val="FirstParagraph"/>
      </w:pPr>
      <w:r>
        <w:t xml:space="preserve">The Gold layer contains business-ready analytics datasets.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customer_ltv_daily</w:t>
      </w:r>
    </w:p>
    <w:p>
      <w:pPr>
        <w:pStyle w:val="Compact"/>
        <w:numPr>
          <w:ilvl w:val="0"/>
          <w:numId w:val="1007"/>
        </w:numPr>
      </w:pPr>
      <w:r>
        <w:t xml:space="preserve">customer_rfm</w:t>
      </w:r>
    </w:p>
    <w:p>
      <w:pPr>
        <w:pStyle w:val="Compact"/>
        <w:numPr>
          <w:ilvl w:val="0"/>
          <w:numId w:val="1007"/>
        </w:numPr>
      </w:pPr>
      <w:r>
        <w:t xml:space="preserve">customer_churn</w:t>
      </w:r>
    </w:p>
    <w:p>
      <w:pPr>
        <w:pStyle w:val="Compact"/>
        <w:numPr>
          <w:ilvl w:val="0"/>
          <w:numId w:val="1007"/>
        </w:numPr>
      </w:pPr>
      <w:r>
        <w:t xml:space="preserve">loyalty_impact</w:t>
      </w:r>
    </w:p>
    <w:p>
      <w:pPr>
        <w:pStyle w:val="Compact"/>
        <w:numPr>
          <w:ilvl w:val="0"/>
          <w:numId w:val="1007"/>
        </w:numPr>
      </w:pPr>
      <w:r>
        <w:t xml:space="preserve">location_performance</w:t>
      </w:r>
    </w:p>
    <w:p>
      <w:pPr>
        <w:pStyle w:val="Compact"/>
        <w:numPr>
          <w:ilvl w:val="0"/>
          <w:numId w:val="1007"/>
        </w:numPr>
      </w:pPr>
      <w:r>
        <w:t xml:space="preserve">sales_trends</w:t>
      </w:r>
    </w:p>
    <w:p>
      <w:pPr>
        <w:pStyle w:val="Compact"/>
        <w:numPr>
          <w:ilvl w:val="0"/>
          <w:numId w:val="1007"/>
        </w:numPr>
      </w:pPr>
      <w:r>
        <w:t xml:space="preserve">discount_analysis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Executive reporting</w:t>
      </w:r>
    </w:p>
    <w:p>
      <w:pPr>
        <w:pStyle w:val="Compact"/>
        <w:numPr>
          <w:ilvl w:val="0"/>
          <w:numId w:val="1008"/>
        </w:numPr>
      </w:pPr>
      <w:r>
        <w:t xml:space="preserve">Dashboard consumption</w:t>
      </w:r>
    </w:p>
    <w:p>
      <w:pPr>
        <w:pStyle w:val="Compact"/>
        <w:numPr>
          <w:ilvl w:val="0"/>
          <w:numId w:val="1008"/>
        </w:numPr>
      </w:pPr>
      <w:r>
        <w:t xml:space="preserve">Self-service analytics</w:t>
      </w:r>
    </w:p>
    <w:p>
      <w:r>
        <w:pict>
          <v:rect style="width:0;height:1.5pt" o:hralign="center" o:hrstd="t" o:hr="t"/>
        </w:pict>
      </w:r>
    </w:p>
    <w:bookmarkEnd w:id="25"/>
    <w:bookmarkStart w:id="26" w:name="metadata-and-query-layer"/>
    <w:p>
      <w:pPr>
        <w:pStyle w:val="Heading2"/>
      </w:pPr>
      <w:r>
        <w:t xml:space="preserve">Metadata and Query Layer</w:t>
      </w:r>
    </w:p>
    <w:p>
      <w:pPr>
        <w:pStyle w:val="FirstParagraph"/>
      </w:pPr>
      <w:r>
        <w:t xml:space="preserve">AWS Glue Catalog maintains metadata definitions for all datasets.</w:t>
      </w:r>
    </w:p>
    <w:p>
      <w:pPr>
        <w:pStyle w:val="BodyText"/>
      </w:pPr>
      <w:r>
        <w:t xml:space="preserve">Amazon Athena provides serverless SQL access to Gold datasets.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9"/>
        </w:numPr>
      </w:pPr>
      <w:r>
        <w:t xml:space="preserve">No infrastructure management</w:t>
      </w:r>
    </w:p>
    <w:p>
      <w:pPr>
        <w:pStyle w:val="Compact"/>
        <w:numPr>
          <w:ilvl w:val="0"/>
          <w:numId w:val="1009"/>
        </w:numPr>
      </w:pPr>
      <w:r>
        <w:t xml:space="preserve">Fast analytical queries</w:t>
      </w:r>
    </w:p>
    <w:p>
      <w:pPr>
        <w:pStyle w:val="Compact"/>
        <w:numPr>
          <w:ilvl w:val="0"/>
          <w:numId w:val="1009"/>
        </w:numPr>
      </w:pPr>
      <w:r>
        <w:t xml:space="preserve">Cost-efficient reporting</w:t>
      </w:r>
    </w:p>
    <w:p>
      <w:r>
        <w:pict>
          <v:rect style="width:0;height:1.5pt" o:hralign="center" o:hrstd="t" o:hr="t"/>
        </w:pict>
      </w:r>
    </w:p>
    <w:bookmarkEnd w:id="26"/>
    <w:bookmarkStart w:id="27" w:name="dashboard-layer"/>
    <w:p>
      <w:pPr>
        <w:pStyle w:val="Heading2"/>
      </w:pPr>
      <w:r>
        <w:t xml:space="preserve">Dashboard Layer</w:t>
      </w:r>
    </w:p>
    <w:p>
      <w:pPr>
        <w:pStyle w:val="FirstParagraph"/>
      </w:pPr>
      <w:r>
        <w:t xml:space="preserve">Streamlit provides interactive business dashboards.</w:t>
      </w:r>
    </w:p>
    <w:p>
      <w:pPr>
        <w:pStyle w:val="BodyText"/>
      </w:pPr>
      <w:r>
        <w:t xml:space="preserve">Dashboard modules include:</w:t>
      </w:r>
    </w:p>
    <w:p>
      <w:pPr>
        <w:pStyle w:val="Compact"/>
        <w:numPr>
          <w:ilvl w:val="0"/>
          <w:numId w:val="1010"/>
        </w:numPr>
      </w:pPr>
      <w:r>
        <w:t xml:space="preserve">Customer Segmentation</w:t>
      </w:r>
    </w:p>
    <w:p>
      <w:pPr>
        <w:pStyle w:val="Compact"/>
        <w:numPr>
          <w:ilvl w:val="0"/>
          <w:numId w:val="1010"/>
        </w:numPr>
      </w:pPr>
      <w:r>
        <w:t xml:space="preserve">Customer Lifetime Value</w:t>
      </w:r>
    </w:p>
    <w:p>
      <w:pPr>
        <w:pStyle w:val="Compact"/>
        <w:numPr>
          <w:ilvl w:val="0"/>
          <w:numId w:val="1010"/>
        </w:numPr>
      </w:pPr>
      <w:r>
        <w:t xml:space="preserve">Churn Analysis</w:t>
      </w:r>
    </w:p>
    <w:p>
      <w:pPr>
        <w:pStyle w:val="Compact"/>
        <w:numPr>
          <w:ilvl w:val="0"/>
          <w:numId w:val="1010"/>
        </w:numPr>
      </w:pPr>
      <w:r>
        <w:t xml:space="preserve">Loyalty Impact</w:t>
      </w:r>
    </w:p>
    <w:p>
      <w:pPr>
        <w:pStyle w:val="Compact"/>
        <w:numPr>
          <w:ilvl w:val="0"/>
          <w:numId w:val="1010"/>
        </w:numPr>
      </w:pPr>
      <w:r>
        <w:t xml:space="preserve">Location Performance</w:t>
      </w:r>
    </w:p>
    <w:p>
      <w:pPr>
        <w:pStyle w:val="Compact"/>
        <w:numPr>
          <w:ilvl w:val="0"/>
          <w:numId w:val="1010"/>
        </w:numPr>
      </w:pPr>
      <w:r>
        <w:t xml:space="preserve">Sales Trends</w:t>
      </w:r>
    </w:p>
    <w:p>
      <w:pPr>
        <w:pStyle w:val="Compact"/>
        <w:numPr>
          <w:ilvl w:val="0"/>
          <w:numId w:val="1010"/>
        </w:numPr>
      </w:pPr>
      <w:r>
        <w:t xml:space="preserve">Discount Effectiveness</w:t>
      </w:r>
    </w:p>
    <w:p>
      <w:pPr>
        <w:pStyle w:val="FirstParagraph"/>
      </w:pPr>
      <w:r>
        <w:t xml:space="preserve">Users can filter and analyze data by:</w:t>
      </w:r>
    </w:p>
    <w:p>
      <w:pPr>
        <w:pStyle w:val="Compact"/>
        <w:numPr>
          <w:ilvl w:val="0"/>
          <w:numId w:val="1011"/>
        </w:numPr>
      </w:pPr>
      <w:r>
        <w:t xml:space="preserve">Date</w:t>
      </w:r>
    </w:p>
    <w:p>
      <w:pPr>
        <w:pStyle w:val="Compact"/>
        <w:numPr>
          <w:ilvl w:val="0"/>
          <w:numId w:val="1011"/>
        </w:numPr>
      </w:pPr>
      <w:r>
        <w:t xml:space="preserve">Customer</w:t>
      </w:r>
    </w:p>
    <w:p>
      <w:pPr>
        <w:pStyle w:val="Compact"/>
        <w:numPr>
          <w:ilvl w:val="0"/>
          <w:numId w:val="1011"/>
        </w:numPr>
      </w:pPr>
      <w:r>
        <w:t xml:space="preserve">Restaurant</w:t>
      </w:r>
    </w:p>
    <w:p>
      <w:pPr>
        <w:pStyle w:val="Compact"/>
        <w:numPr>
          <w:ilvl w:val="0"/>
          <w:numId w:val="1011"/>
        </w:numPr>
      </w:pPr>
      <w:r>
        <w:t xml:space="preserve">Loyalty Status</w:t>
      </w:r>
    </w:p>
    <w:p>
      <w:pPr>
        <w:pStyle w:val="Compact"/>
        <w:numPr>
          <w:ilvl w:val="0"/>
          <w:numId w:val="1011"/>
        </w:numPr>
      </w:pPr>
      <w:r>
        <w:t xml:space="preserve">Product Category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and-operations"/>
    <w:p>
      <w:pPr>
        <w:pStyle w:val="Heading2"/>
      </w:pPr>
      <w:r>
        <w:t xml:space="preserve">Security and Operations</w:t>
      </w:r>
    </w:p>
    <w:p>
      <w:pPr>
        <w:pStyle w:val="FirstParagraph"/>
      </w:pPr>
      <w:r>
        <w:t xml:space="preserve">Security controls span the entire architecture.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12"/>
        </w:numPr>
      </w:pPr>
      <w:r>
        <w:t xml:space="preserve">AWS KMS</w:t>
      </w:r>
    </w:p>
    <w:p>
      <w:pPr>
        <w:pStyle w:val="Compact"/>
        <w:numPr>
          <w:ilvl w:val="0"/>
          <w:numId w:val="1012"/>
        </w:numPr>
      </w:pPr>
      <w:r>
        <w:t xml:space="preserve">IAM Roles</w:t>
      </w:r>
    </w:p>
    <w:p>
      <w:pPr>
        <w:pStyle w:val="Compact"/>
        <w:numPr>
          <w:ilvl w:val="0"/>
          <w:numId w:val="1012"/>
        </w:numPr>
      </w:pPr>
      <w:r>
        <w:t xml:space="preserve">AWS Secrets Manager</w:t>
      </w:r>
    </w:p>
    <w:p>
      <w:pPr>
        <w:pStyle w:val="Compact"/>
        <w:numPr>
          <w:ilvl w:val="0"/>
          <w:numId w:val="1012"/>
        </w:numPr>
      </w:pPr>
      <w:r>
        <w:t xml:space="preserve">Amazon CloudWatch</w:t>
      </w:r>
    </w:p>
    <w:p>
      <w:pPr>
        <w:pStyle w:val="Compact"/>
        <w:numPr>
          <w:ilvl w:val="0"/>
          <w:numId w:val="1012"/>
        </w:numPr>
      </w:pPr>
      <w:r>
        <w:t xml:space="preserve">Amazon SNS</w:t>
      </w:r>
    </w:p>
    <w:p>
      <w:pPr>
        <w:pStyle w:val="FirstParagraph"/>
      </w:pPr>
      <w:r>
        <w:t xml:space="preserve">These services provide encryption, access control, monitoring, and alerting.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value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This architecture enables the organization to:</w:t>
      </w:r>
    </w:p>
    <w:p>
      <w:pPr>
        <w:pStyle w:val="Compact"/>
        <w:numPr>
          <w:ilvl w:val="0"/>
          <w:numId w:val="1013"/>
        </w:numPr>
      </w:pPr>
      <w:r>
        <w:t xml:space="preserve">Understand customer behavior</w:t>
      </w:r>
    </w:p>
    <w:p>
      <w:pPr>
        <w:pStyle w:val="Compact"/>
        <w:numPr>
          <w:ilvl w:val="0"/>
          <w:numId w:val="1013"/>
        </w:numPr>
      </w:pPr>
      <w:r>
        <w:t xml:space="preserve">Improve customer retention</w:t>
      </w:r>
    </w:p>
    <w:p>
      <w:pPr>
        <w:pStyle w:val="Compact"/>
        <w:numPr>
          <w:ilvl w:val="0"/>
          <w:numId w:val="1013"/>
        </w:numPr>
      </w:pPr>
      <w:r>
        <w:t xml:space="preserve">Measure loyalty program effectiveness</w:t>
      </w:r>
    </w:p>
    <w:p>
      <w:pPr>
        <w:pStyle w:val="Compact"/>
        <w:numPr>
          <w:ilvl w:val="0"/>
          <w:numId w:val="1013"/>
        </w:numPr>
      </w:pPr>
      <w:r>
        <w:t xml:space="preserve">Optimize promotions</w:t>
      </w:r>
    </w:p>
    <w:p>
      <w:pPr>
        <w:pStyle w:val="Compact"/>
        <w:numPr>
          <w:ilvl w:val="0"/>
          <w:numId w:val="1013"/>
        </w:numPr>
      </w:pPr>
      <w:r>
        <w:t xml:space="preserve">Improve location performance</w:t>
      </w:r>
    </w:p>
    <w:p>
      <w:pPr>
        <w:pStyle w:val="Compact"/>
        <w:numPr>
          <w:ilvl w:val="0"/>
          <w:numId w:val="1013"/>
        </w:numPr>
      </w:pPr>
      <w:r>
        <w:t xml:space="preserve">Support data-driven decision making</w:t>
      </w:r>
    </w:p>
    <w:p>
      <w:pPr>
        <w:pStyle w:val="FirstParagraph"/>
      </w:pPr>
      <w:r>
        <w:t xml:space="preserve">The solution is scalable, secure, and fully aligned with AWS best practices while satisfying all project requirements.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2026-06-11T11:05:17Z</dcterms:created>
  <dcterms:modified xsi:type="dcterms:W3CDTF">2026-06-11T11:05:17Z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