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staurant-customer-analytics-platform"/>
    <w:p>
      <w:pPr>
        <w:pStyle w:val="Heading1"/>
      </w:pPr>
      <w:r>
        <w:t xml:space="preserve">Restaurant Customer Analytics Platform</w:t>
      </w:r>
    </w:p>
    <w:bookmarkStart w:id="23" w:name="solution-design-document"/>
    <w:p>
      <w:pPr>
        <w:pStyle w:val="Heading2"/>
      </w:pPr>
      <w:r>
        <w:t xml:space="preserve">Solution Design Document</w:t>
      </w:r>
    </w:p>
    <w:bookmarkStart w:id="20" w:name="version"/>
    <w:p>
      <w:pPr>
        <w:pStyle w:val="Heading3"/>
      </w:pPr>
      <w:r>
        <w:t xml:space="preserve">Version</w:t>
      </w:r>
    </w:p>
    <w:p>
      <w:pPr>
        <w:pStyle w:val="FirstParagraph"/>
      </w:pPr>
      <w:r>
        <w:t xml:space="preserve">1.0</w:t>
      </w:r>
    </w:p>
    <w:bookmarkEnd w:id="20"/>
    <w:bookmarkStart w:id="21" w:name="author"/>
    <w:p>
      <w:pPr>
        <w:pStyle w:val="Heading3"/>
      </w:pPr>
      <w:r>
        <w:t xml:space="preserve">Author</w:t>
      </w:r>
    </w:p>
    <w:p>
      <w:pPr>
        <w:pStyle w:val="FirstParagraph"/>
      </w:pPr>
      <w:r>
        <w:t xml:space="preserve">Richard D. Roberts</w:t>
      </w:r>
    </w:p>
    <w:bookmarkEnd w:id="21"/>
    <w:bookmarkStart w:id="22" w:name="date"/>
    <w:p>
      <w:pPr>
        <w:pStyle w:val="Heading3"/>
      </w:pPr>
      <w:r>
        <w:t xml:space="preserve">Date</w:t>
      </w:r>
    </w:p>
    <w:p>
      <w:pPr>
        <w:pStyle w:val="FirstParagraph"/>
      </w:pPr>
      <w:r>
        <w:t xml:space="preserve">June 2026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objective of this solution is to build an enterprise-grade customer analytics platform capable of providing actionable business insights across restaurant locations and ordering channels. The platform will calculate Customer Lifetime Value (CLV) daily, perform customer segmentation using Recency-Frequency-Monetary (RFM) analysis, identify churn risk indicators, measure loyalty program effectiveness, analyze sales trends and seasonality, evaluate discount effectiveness, and rank location performance.</w:t>
      </w:r>
    </w:p>
    <w:p>
      <w:pPr>
        <w:pStyle w:val="BodyText"/>
      </w:pPr>
      <w:r>
        <w:t xml:space="preserve">The solution is designed entirely using AWS native services and PySpark, adhering to organizational requirements to avoid third-party platforms such as Snowflake or DBT.</w:t>
      </w:r>
    </w:p>
    <w:p>
      <w:r>
        <w:pict>
          <v:rect style="width:0;height:1.5pt" o:hralign="center" o:hrstd="t" o:hr="t"/>
        </w:pict>
      </w:r>
    </w:p>
    <w:bookmarkEnd w:id="25"/>
    <w:bookmarkStart w:id="26" w:name="business-objectives"/>
    <w:p>
      <w:pPr>
        <w:pStyle w:val="Heading1"/>
      </w:pPr>
      <w:r>
        <w:t xml:space="preserve">2. Business Objectives</w:t>
      </w:r>
    </w:p>
    <w:p>
      <w:pPr>
        <w:pStyle w:val="FirstParagraph"/>
      </w:pPr>
      <w:r>
        <w:t xml:space="preserve">The platform will provide insights into:</w:t>
      </w:r>
    </w:p>
    <w:p>
      <w:pPr>
        <w:pStyle w:val="Compact"/>
        <w:numPr>
          <w:ilvl w:val="0"/>
          <w:numId w:val="1001"/>
        </w:numPr>
      </w:pPr>
      <w:r>
        <w:t xml:space="preserve">Customer Lifetime Value (CLV)</w:t>
      </w:r>
    </w:p>
    <w:p>
      <w:pPr>
        <w:pStyle w:val="Compact"/>
        <w:numPr>
          <w:ilvl w:val="0"/>
          <w:numId w:val="1001"/>
        </w:numPr>
      </w:pPr>
      <w:r>
        <w:t xml:space="preserve">Customer Segmentation (RFM)</w:t>
      </w:r>
    </w:p>
    <w:p>
      <w:pPr>
        <w:pStyle w:val="Compact"/>
        <w:numPr>
          <w:ilvl w:val="0"/>
          <w:numId w:val="1001"/>
        </w:numPr>
      </w:pPr>
      <w:r>
        <w:t xml:space="preserve">Churn Risk Identification</w:t>
      </w:r>
    </w:p>
    <w:p>
      <w:pPr>
        <w:pStyle w:val="Compact"/>
        <w:numPr>
          <w:ilvl w:val="0"/>
          <w:numId w:val="1001"/>
        </w:numPr>
      </w:pPr>
      <w:r>
        <w:t xml:space="preserve">Sales Trends and Seasonality</w:t>
      </w:r>
    </w:p>
    <w:p>
      <w:pPr>
        <w:pStyle w:val="Compact"/>
        <w:numPr>
          <w:ilvl w:val="0"/>
          <w:numId w:val="1001"/>
        </w:numPr>
      </w:pPr>
      <w:r>
        <w:t xml:space="preserve">Loyalty Program Performance</w:t>
      </w:r>
    </w:p>
    <w:p>
      <w:pPr>
        <w:pStyle w:val="Compact"/>
        <w:numPr>
          <w:ilvl w:val="0"/>
          <w:numId w:val="1001"/>
        </w:numPr>
      </w:pPr>
      <w:r>
        <w:t xml:space="preserve">Location Performance</w:t>
      </w:r>
    </w:p>
    <w:p>
      <w:pPr>
        <w:pStyle w:val="Compact"/>
        <w:numPr>
          <w:ilvl w:val="0"/>
          <w:numId w:val="1001"/>
        </w:numPr>
      </w:pPr>
      <w:r>
        <w:t xml:space="preserve">Pricing and Discount Effectiveness</w:t>
      </w:r>
    </w:p>
    <w:p>
      <w:pPr>
        <w:pStyle w:val="FirstParagraph"/>
      </w:pPr>
      <w:r>
        <w:t xml:space="preserve">Business users will access these insights through a Streamlit dashboard.</w:t>
      </w:r>
    </w:p>
    <w:p>
      <w:r>
        <w:pict>
          <v:rect style="width:0;height:1.5pt" o:hralign="center" o:hrstd="t" o:hr="t"/>
        </w:pict>
      </w:r>
    </w:p>
    <w:bookmarkEnd w:id="26"/>
    <w:bookmarkStart w:id="31" w:name="source-systems"/>
    <w:p>
      <w:pPr>
        <w:pStyle w:val="Heading1"/>
      </w:pPr>
      <w:r>
        <w:t xml:space="preserve">3. Source Systems</w:t>
      </w:r>
    </w:p>
    <w:bookmarkStart w:id="30" w:name="sql-server-source-tables"/>
    <w:p>
      <w:pPr>
        <w:pStyle w:val="Heading2"/>
      </w:pPr>
      <w:r>
        <w:t xml:space="preserve">SQL Server Source Tables</w:t>
      </w:r>
    </w:p>
    <w:bookmarkStart w:id="27" w:name="order_items"/>
    <w:p>
      <w:pPr>
        <w:pStyle w:val="Heading3"/>
      </w:pPr>
      <w:r>
        <w:t xml:space="preserve">order_items</w:t>
      </w:r>
    </w:p>
    <w:p>
      <w:pPr>
        <w:pStyle w:val="FirstParagraph"/>
      </w:pPr>
      <w:r>
        <w:t xml:space="preserve">Stores transactional order item data.</w:t>
      </w:r>
    </w:p>
    <w:p>
      <w:pPr>
        <w:pStyle w:val="BodyText"/>
      </w:pPr>
      <w:r>
        <w:t xml:space="preserve">Key Attributes:</w:t>
      </w:r>
    </w:p>
    <w:p>
      <w:pPr>
        <w:pStyle w:val="Compact"/>
        <w:numPr>
          <w:ilvl w:val="0"/>
          <w:numId w:val="1002"/>
        </w:numPr>
      </w:pPr>
      <w:r>
        <w:t xml:space="preserve">order_id</w:t>
      </w:r>
    </w:p>
    <w:p>
      <w:pPr>
        <w:pStyle w:val="Compact"/>
        <w:numPr>
          <w:ilvl w:val="0"/>
          <w:numId w:val="1002"/>
        </w:numPr>
      </w:pPr>
      <w:r>
        <w:t xml:space="preserve">user_id</w:t>
      </w:r>
    </w:p>
    <w:p>
      <w:pPr>
        <w:pStyle w:val="Compact"/>
        <w:numPr>
          <w:ilvl w:val="0"/>
          <w:numId w:val="1002"/>
        </w:numPr>
      </w:pPr>
      <w:r>
        <w:t xml:space="preserve">restaurant_id</w:t>
      </w:r>
    </w:p>
    <w:p>
      <w:pPr>
        <w:pStyle w:val="Compact"/>
        <w:numPr>
          <w:ilvl w:val="0"/>
          <w:numId w:val="1002"/>
        </w:numPr>
      </w:pPr>
      <w:r>
        <w:t xml:space="preserve">creation_time_utc</w:t>
      </w:r>
    </w:p>
    <w:p>
      <w:pPr>
        <w:pStyle w:val="Compact"/>
        <w:numPr>
          <w:ilvl w:val="0"/>
          <w:numId w:val="1002"/>
        </w:numPr>
      </w:pPr>
      <w:r>
        <w:t xml:space="preserve">item_price</w:t>
      </w:r>
    </w:p>
    <w:p>
      <w:pPr>
        <w:pStyle w:val="Compact"/>
        <w:numPr>
          <w:ilvl w:val="0"/>
          <w:numId w:val="1002"/>
        </w:numPr>
      </w:pPr>
      <w:r>
        <w:t xml:space="preserve">item_quantity</w:t>
      </w:r>
    </w:p>
    <w:p>
      <w:pPr>
        <w:pStyle w:val="Compact"/>
        <w:numPr>
          <w:ilvl w:val="0"/>
          <w:numId w:val="1002"/>
        </w:numPr>
      </w:pPr>
      <w:r>
        <w:t xml:space="preserve">is_loyalty</w:t>
      </w:r>
    </w:p>
    <w:bookmarkEnd w:id="27"/>
    <w:bookmarkStart w:id="28" w:name="order_item_options"/>
    <w:p>
      <w:pPr>
        <w:pStyle w:val="Heading3"/>
      </w:pPr>
      <w:r>
        <w:t xml:space="preserve">order_item_options</w:t>
      </w:r>
    </w:p>
    <w:p>
      <w:pPr>
        <w:pStyle w:val="FirstParagraph"/>
      </w:pPr>
      <w:r>
        <w:t xml:space="preserve">Stores item modifiers, add-ons, and discounts.</w:t>
      </w:r>
    </w:p>
    <w:p>
      <w:pPr>
        <w:pStyle w:val="BodyText"/>
      </w:pPr>
      <w:r>
        <w:t xml:space="preserve">Key Attributes:</w:t>
      </w:r>
    </w:p>
    <w:p>
      <w:pPr>
        <w:pStyle w:val="Compact"/>
        <w:numPr>
          <w:ilvl w:val="0"/>
          <w:numId w:val="1003"/>
        </w:numPr>
      </w:pPr>
      <w:r>
        <w:t xml:space="preserve">order_id</w:t>
      </w:r>
    </w:p>
    <w:p>
      <w:pPr>
        <w:pStyle w:val="Compact"/>
        <w:numPr>
          <w:ilvl w:val="0"/>
          <w:numId w:val="1003"/>
        </w:numPr>
      </w:pPr>
      <w:r>
        <w:t xml:space="preserve">lineitem_id</w:t>
      </w:r>
    </w:p>
    <w:p>
      <w:pPr>
        <w:pStyle w:val="Compact"/>
        <w:numPr>
          <w:ilvl w:val="0"/>
          <w:numId w:val="1003"/>
        </w:numPr>
      </w:pPr>
      <w:r>
        <w:t xml:space="preserve">option_price</w:t>
      </w:r>
    </w:p>
    <w:p>
      <w:pPr>
        <w:pStyle w:val="Compact"/>
        <w:numPr>
          <w:ilvl w:val="0"/>
          <w:numId w:val="1003"/>
        </w:numPr>
      </w:pPr>
      <w:r>
        <w:t xml:space="preserve">option_quantity</w:t>
      </w:r>
    </w:p>
    <w:bookmarkEnd w:id="28"/>
    <w:bookmarkStart w:id="29" w:name="date_dim"/>
    <w:p>
      <w:pPr>
        <w:pStyle w:val="Heading3"/>
      </w:pPr>
      <w:r>
        <w:t xml:space="preserve">date_dim</w:t>
      </w:r>
    </w:p>
    <w:p>
      <w:pPr>
        <w:pStyle w:val="FirstParagraph"/>
      </w:pPr>
      <w:r>
        <w:t xml:space="preserve">Provides calendar attributes for reporting and seasonality analysis.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architecture-overview"/>
    <w:p>
      <w:pPr>
        <w:pStyle w:val="Heading1"/>
      </w:pPr>
      <w:r>
        <w:t xml:space="preserve">4. Architecture Overview</w:t>
      </w:r>
    </w:p>
    <w:p>
      <w:pPr>
        <w:pStyle w:val="FirstParagraph"/>
      </w:pPr>
      <w:r>
        <w:t xml:space="preserve">The architecture follows a Medallion Data Lake pattern:</w:t>
      </w:r>
    </w:p>
    <w:bookmarkStart w:id="32" w:name="bronze-layer"/>
    <w:p>
      <w:pPr>
        <w:pStyle w:val="Heading3"/>
      </w:pPr>
      <w:r>
        <w:t xml:space="preserve">Bronze Layer</w:t>
      </w:r>
    </w:p>
    <w:p>
      <w:pPr>
        <w:pStyle w:val="FirstParagraph"/>
      </w:pPr>
      <w:r>
        <w:t xml:space="preserve">Raw source ingestion.</w:t>
      </w:r>
    </w:p>
    <w:bookmarkEnd w:id="32"/>
    <w:bookmarkStart w:id="33" w:name="silver-layer"/>
    <w:p>
      <w:pPr>
        <w:pStyle w:val="Heading3"/>
      </w:pPr>
      <w:r>
        <w:t xml:space="preserve">Silver Layer</w:t>
      </w:r>
    </w:p>
    <w:p>
      <w:pPr>
        <w:pStyle w:val="FirstParagraph"/>
      </w:pPr>
      <w:r>
        <w:t xml:space="preserve">Validated and standardized business entities.</w:t>
      </w:r>
    </w:p>
    <w:bookmarkEnd w:id="33"/>
    <w:bookmarkStart w:id="34" w:name="gold-layer"/>
    <w:p>
      <w:pPr>
        <w:pStyle w:val="Heading3"/>
      </w:pPr>
      <w:r>
        <w:t xml:space="preserve">Gold Layer</w:t>
      </w:r>
    </w:p>
    <w:p>
      <w:pPr>
        <w:pStyle w:val="FirstParagraph"/>
      </w:pPr>
      <w:r>
        <w:t xml:space="preserve">Business-ready analytics tables.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ws-services-used"/>
    <w:p>
      <w:pPr>
        <w:pStyle w:val="Heading1"/>
      </w:pPr>
      <w:r>
        <w:t xml:space="preserve">5. AWS Services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Source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DMS</w:t>
            </w:r>
          </w:p>
        </w:tc>
        <w:tc>
          <w:tcPr/>
          <w:p>
            <w:pPr>
              <w:pStyle w:val="Compact"/>
            </w:pPr>
            <w:r>
              <w:t xml:space="preserve">Incremental Data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S3</w:t>
            </w:r>
          </w:p>
        </w:tc>
        <w:tc>
          <w:tcPr/>
          <w:p>
            <w:pPr>
              <w:pStyle w:val="Compact"/>
            </w:pPr>
            <w:r>
              <w:t xml:space="preserve">Data Lake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Glue</w:t>
            </w:r>
          </w:p>
        </w:tc>
        <w:tc>
          <w:tcPr/>
          <w:p>
            <w:pPr>
              <w:pStyle w:val="Compact"/>
            </w:pPr>
            <w:r>
              <w:t xml:space="preserve">ETL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Glue Data Quality</w:t>
            </w:r>
          </w:p>
        </w:tc>
        <w:tc>
          <w:tcPr/>
          <w:p>
            <w:pPr>
              <w:pStyle w:val="Compact"/>
            </w:pPr>
            <w:r>
              <w:t xml:space="preserve">Data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Glue Catalog</w:t>
            </w:r>
          </w:p>
        </w:tc>
        <w:tc>
          <w:tcPr/>
          <w:p>
            <w:pPr>
              <w:pStyle w:val="Compact"/>
            </w:pPr>
            <w:r>
              <w:t xml:space="preserve">Metadata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Athena</w:t>
            </w:r>
          </w:p>
        </w:tc>
        <w:tc>
          <w:tcPr/>
          <w:p>
            <w:pPr>
              <w:pStyle w:val="Compact"/>
            </w:pPr>
            <w:r>
              <w:t xml:space="preserve">SQL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CloudWatch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SNS</w:t>
            </w:r>
          </w:p>
        </w:tc>
        <w:tc>
          <w:tcPr/>
          <w:p>
            <w:pPr>
              <w:pStyle w:val="Compact"/>
            </w:pPr>
            <w:r>
              <w:t xml:space="preserve">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Secrets Manager</w:t>
            </w:r>
          </w:p>
        </w:tc>
        <w:tc>
          <w:tcPr/>
          <w:p>
            <w:pPr>
              <w:pStyle w:val="Compact"/>
            </w:pPr>
            <w:r>
              <w:t xml:space="preserve">Credential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KMS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Dashboarding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ata-flow"/>
    <w:p>
      <w:pPr>
        <w:pStyle w:val="Heading1"/>
      </w:pPr>
      <w:r>
        <w:t xml:space="preserve">6. Data Flow</w:t>
      </w:r>
    </w:p>
    <w:p>
      <w:pPr>
        <w:pStyle w:val="Compact"/>
        <w:numPr>
          <w:ilvl w:val="0"/>
          <w:numId w:val="1004"/>
        </w:numPr>
      </w:pPr>
      <w:r>
        <w:t xml:space="preserve">SQL Server tables are replicated using AWS DMS.</w:t>
      </w:r>
    </w:p>
    <w:p>
      <w:pPr>
        <w:pStyle w:val="Compact"/>
        <w:numPr>
          <w:ilvl w:val="0"/>
          <w:numId w:val="1004"/>
        </w:numPr>
      </w:pPr>
      <w:r>
        <w:t xml:space="preserve">Data is stored in the Bronze layer.</w:t>
      </w:r>
    </w:p>
    <w:p>
      <w:pPr>
        <w:pStyle w:val="Compact"/>
        <w:numPr>
          <w:ilvl w:val="0"/>
          <w:numId w:val="1004"/>
        </w:numPr>
      </w:pPr>
      <w:r>
        <w:t xml:space="preserve">AWS Glue validates incoming data.</w:t>
      </w:r>
    </w:p>
    <w:p>
      <w:pPr>
        <w:pStyle w:val="Compact"/>
        <w:numPr>
          <w:ilvl w:val="0"/>
          <w:numId w:val="1004"/>
        </w:numPr>
      </w:pPr>
      <w:r>
        <w:t xml:space="preserve">PySpark transforms data into Silver datasets.</w:t>
      </w:r>
    </w:p>
    <w:p>
      <w:pPr>
        <w:pStyle w:val="Compact"/>
        <w:numPr>
          <w:ilvl w:val="0"/>
          <w:numId w:val="1004"/>
        </w:numPr>
      </w:pPr>
      <w:r>
        <w:t xml:space="preserve">Business metrics are calculated and stored in Gold.</w:t>
      </w:r>
    </w:p>
    <w:p>
      <w:pPr>
        <w:pStyle w:val="Compact"/>
        <w:numPr>
          <w:ilvl w:val="0"/>
          <w:numId w:val="1004"/>
        </w:numPr>
      </w:pPr>
      <w:r>
        <w:t xml:space="preserve">Glue Catalog registers datasets.</w:t>
      </w:r>
    </w:p>
    <w:p>
      <w:pPr>
        <w:pStyle w:val="Compact"/>
        <w:numPr>
          <w:ilvl w:val="0"/>
          <w:numId w:val="1004"/>
        </w:numPr>
      </w:pPr>
      <w:r>
        <w:t xml:space="preserve">Athena queries Gold datasets.</w:t>
      </w:r>
    </w:p>
    <w:p>
      <w:pPr>
        <w:pStyle w:val="Compact"/>
        <w:numPr>
          <w:ilvl w:val="0"/>
          <w:numId w:val="1004"/>
        </w:numPr>
      </w:pPr>
      <w:r>
        <w:t xml:space="preserve">Streamlit dashboards consume Athena views.</w:t>
      </w:r>
    </w:p>
    <w:p>
      <w:r>
        <w:pict>
          <v:rect style="width:0;height:1.5pt" o:hralign="center" o:hrstd="t" o:hr="t"/>
        </w:pict>
      </w:r>
    </w:p>
    <w:bookmarkEnd w:id="37"/>
    <w:bookmarkStart w:id="46" w:name="data-model"/>
    <w:p>
      <w:pPr>
        <w:pStyle w:val="Heading1"/>
      </w:pPr>
      <w:r>
        <w:t xml:space="preserve">7. Data Model</w:t>
      </w:r>
    </w:p>
    <w:bookmarkStart w:id="45" w:name="gold-tables"/>
    <w:p>
      <w:pPr>
        <w:pStyle w:val="Heading2"/>
      </w:pPr>
      <w:r>
        <w:t xml:space="preserve">Gold Tables</w:t>
      </w:r>
    </w:p>
    <w:bookmarkStart w:id="38" w:name="customer_ltv_daily"/>
    <w:p>
      <w:pPr>
        <w:pStyle w:val="Heading3"/>
      </w:pPr>
      <w:r>
        <w:t xml:space="preserve">customer_ltv_daily</w:t>
      </w:r>
    </w:p>
    <w:p>
      <w:pPr>
        <w:pStyle w:val="FirstParagraph"/>
      </w:pPr>
      <w:r>
        <w:t xml:space="preserve">Tracks daily CLV evolution.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005"/>
        </w:numPr>
      </w:pPr>
      <w:r>
        <w:t xml:space="preserve">customer_id</w:t>
      </w:r>
    </w:p>
    <w:p>
      <w:pPr>
        <w:pStyle w:val="Compact"/>
        <w:numPr>
          <w:ilvl w:val="0"/>
          <w:numId w:val="1005"/>
        </w:numPr>
      </w:pPr>
      <w:r>
        <w:t xml:space="preserve">date_key</w:t>
      </w:r>
    </w:p>
    <w:p>
      <w:pPr>
        <w:pStyle w:val="Compact"/>
        <w:numPr>
          <w:ilvl w:val="0"/>
          <w:numId w:val="1005"/>
        </w:numPr>
      </w:pPr>
      <w:r>
        <w:t xml:space="preserve">daily_revenue</w:t>
      </w:r>
    </w:p>
    <w:p>
      <w:pPr>
        <w:pStyle w:val="Compact"/>
        <w:numPr>
          <w:ilvl w:val="0"/>
          <w:numId w:val="1005"/>
        </w:numPr>
      </w:pPr>
      <w:r>
        <w:t xml:space="preserve">cumulative_revenue</w:t>
      </w:r>
    </w:p>
    <w:p>
      <w:pPr>
        <w:pStyle w:val="Compact"/>
        <w:numPr>
          <w:ilvl w:val="0"/>
          <w:numId w:val="1005"/>
        </w:numPr>
      </w:pPr>
      <w:r>
        <w:t xml:space="preserve">clv_bucket</w:t>
      </w:r>
    </w:p>
    <w:bookmarkEnd w:id="38"/>
    <w:bookmarkStart w:id="39" w:name="customer_rfm"/>
    <w:p>
      <w:pPr>
        <w:pStyle w:val="Heading3"/>
      </w:pPr>
      <w:r>
        <w:t xml:space="preserve">customer_rfm</w:t>
      </w:r>
    </w:p>
    <w:p>
      <w:pPr>
        <w:pStyle w:val="FirstParagraph"/>
      </w:pPr>
      <w:r>
        <w:t xml:space="preserve">Stores segmentation metrics.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006"/>
        </w:numPr>
      </w:pPr>
      <w:r>
        <w:t xml:space="preserve">recency_score</w:t>
      </w:r>
    </w:p>
    <w:p>
      <w:pPr>
        <w:pStyle w:val="Compact"/>
        <w:numPr>
          <w:ilvl w:val="0"/>
          <w:numId w:val="1006"/>
        </w:numPr>
      </w:pPr>
      <w:r>
        <w:t xml:space="preserve">frequency_score</w:t>
      </w:r>
    </w:p>
    <w:p>
      <w:pPr>
        <w:pStyle w:val="Compact"/>
        <w:numPr>
          <w:ilvl w:val="0"/>
          <w:numId w:val="1006"/>
        </w:numPr>
      </w:pPr>
      <w:r>
        <w:t xml:space="preserve">monetary_score</w:t>
      </w:r>
    </w:p>
    <w:p>
      <w:pPr>
        <w:pStyle w:val="Compact"/>
        <w:numPr>
          <w:ilvl w:val="0"/>
          <w:numId w:val="1006"/>
        </w:numPr>
      </w:pPr>
      <w:r>
        <w:t xml:space="preserve">customer_segment</w:t>
      </w:r>
    </w:p>
    <w:bookmarkEnd w:id="39"/>
    <w:bookmarkStart w:id="40" w:name="customer_churn"/>
    <w:p>
      <w:pPr>
        <w:pStyle w:val="Heading3"/>
      </w:pPr>
      <w:r>
        <w:t xml:space="preserve">customer_churn</w:t>
      </w:r>
    </w:p>
    <w:p>
      <w:pPr>
        <w:pStyle w:val="FirstParagraph"/>
      </w:pPr>
      <w:r>
        <w:t xml:space="preserve">Stores churn indicators.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007"/>
        </w:numPr>
      </w:pPr>
      <w:r>
        <w:t xml:space="preserve">days_since_last_order</w:t>
      </w:r>
    </w:p>
    <w:p>
      <w:pPr>
        <w:pStyle w:val="Compact"/>
        <w:numPr>
          <w:ilvl w:val="0"/>
          <w:numId w:val="1007"/>
        </w:numPr>
      </w:pPr>
      <w:r>
        <w:t xml:space="preserve">avg_days_between_orders</w:t>
      </w:r>
    </w:p>
    <w:p>
      <w:pPr>
        <w:pStyle w:val="Compact"/>
        <w:numPr>
          <w:ilvl w:val="0"/>
          <w:numId w:val="1007"/>
        </w:numPr>
      </w:pPr>
      <w:r>
        <w:t xml:space="preserve">spend_change_pct</w:t>
      </w:r>
    </w:p>
    <w:p>
      <w:pPr>
        <w:pStyle w:val="Compact"/>
        <w:numPr>
          <w:ilvl w:val="0"/>
          <w:numId w:val="1007"/>
        </w:numPr>
      </w:pPr>
      <w:r>
        <w:t xml:space="preserve">churn_status</w:t>
      </w:r>
    </w:p>
    <w:bookmarkEnd w:id="40"/>
    <w:bookmarkStart w:id="41" w:name="sales_trends"/>
    <w:p>
      <w:pPr>
        <w:pStyle w:val="Heading3"/>
      </w:pPr>
      <w:r>
        <w:t xml:space="preserve">sales_trends</w:t>
      </w:r>
    </w:p>
    <w:p>
      <w:pPr>
        <w:pStyle w:val="FirstParagraph"/>
      </w:pPr>
      <w:r>
        <w:t xml:space="preserve">Aggregated daily, weekly, monthly revenue.</w:t>
      </w:r>
    </w:p>
    <w:bookmarkEnd w:id="41"/>
    <w:bookmarkStart w:id="42" w:name="loyalty_impact"/>
    <w:p>
      <w:pPr>
        <w:pStyle w:val="Heading3"/>
      </w:pPr>
      <w:r>
        <w:t xml:space="preserve">loyalty_impact</w:t>
      </w:r>
    </w:p>
    <w:p>
      <w:pPr>
        <w:pStyle w:val="FirstParagraph"/>
      </w:pPr>
      <w:r>
        <w:t xml:space="preserve">Comparison of loyalty versus non-loyalty customers.</w:t>
      </w:r>
    </w:p>
    <w:bookmarkEnd w:id="42"/>
    <w:bookmarkStart w:id="43" w:name="location_performance"/>
    <w:p>
      <w:pPr>
        <w:pStyle w:val="Heading3"/>
      </w:pPr>
      <w:r>
        <w:t xml:space="preserve">location_performance</w:t>
      </w:r>
    </w:p>
    <w:p>
      <w:pPr>
        <w:pStyle w:val="FirstParagraph"/>
      </w:pPr>
      <w:r>
        <w:t xml:space="preserve">Performance ranking by restaurant.</w:t>
      </w:r>
    </w:p>
    <w:bookmarkEnd w:id="43"/>
    <w:bookmarkStart w:id="44" w:name="discount_analysis"/>
    <w:p>
      <w:pPr>
        <w:pStyle w:val="Heading3"/>
      </w:pPr>
      <w:r>
        <w:t xml:space="preserve">discount_analysis</w:t>
      </w:r>
    </w:p>
    <w:p>
      <w:pPr>
        <w:pStyle w:val="FirstParagraph"/>
      </w:pPr>
      <w:r>
        <w:t xml:space="preserve">Measures impact of discounts on revenue.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customer-lifetime-value-logic"/>
    <w:p>
      <w:pPr>
        <w:pStyle w:val="Heading1"/>
      </w:pPr>
      <w:r>
        <w:t xml:space="preserve">8. Customer Lifetime Value Logic</w:t>
      </w:r>
    </w:p>
    <w:p>
      <w:pPr>
        <w:pStyle w:val="FirstParagraph"/>
      </w:pPr>
      <w:r>
        <w:t xml:space="preserve">Net Order Revenue:</w:t>
      </w:r>
    </w:p>
    <w:p>
      <w:pPr>
        <w:pStyle w:val="BodyText"/>
      </w:pPr>
      <w:r>
        <w:t xml:space="preserve">Revenue =</w:t>
      </w:r>
      <w:r>
        <w:t xml:space="preserve"> </w:t>
      </w:r>
      <w:r>
        <w:t xml:space="preserve">(Item Price × Item Quantity)</w:t>
      </w:r>
    </w:p>
    <w:p>
      <w:pPr>
        <w:pStyle w:val="Compact"/>
        <w:numPr>
          <w:ilvl w:val="0"/>
          <w:numId w:val="1008"/>
        </w:numPr>
      </w:pPr>
      <w:r>
        <w:t xml:space="preserve">(Option Price × Option Quantity)</w:t>
      </w:r>
    </w:p>
    <w:p>
      <w:pPr>
        <w:pStyle w:val="FirstParagraph"/>
      </w:pPr>
      <w:r>
        <w:t xml:space="preserve">Daily CLV:</w:t>
      </w:r>
    </w:p>
    <w:p>
      <w:pPr>
        <w:pStyle w:val="BodyText"/>
      </w:pPr>
      <w:r>
        <w:t xml:space="preserve">Running cumulative customer revenue over time.</w:t>
      </w:r>
    </w:p>
    <w:p>
      <w:pPr>
        <w:pStyle w:val="BodyText"/>
      </w:pPr>
      <w:r>
        <w:t xml:space="preserve">Customer groups:</w:t>
      </w:r>
    </w:p>
    <w:p>
      <w:pPr>
        <w:pStyle w:val="Compact"/>
        <w:numPr>
          <w:ilvl w:val="0"/>
          <w:numId w:val="1009"/>
        </w:numPr>
      </w:pPr>
      <w:r>
        <w:t xml:space="preserve">High CLV = Top 20%</w:t>
      </w:r>
    </w:p>
    <w:p>
      <w:pPr>
        <w:pStyle w:val="Compact"/>
        <w:numPr>
          <w:ilvl w:val="0"/>
          <w:numId w:val="1009"/>
        </w:numPr>
      </w:pPr>
      <w:r>
        <w:t xml:space="preserve">Medium CLV = Middle 60%</w:t>
      </w:r>
    </w:p>
    <w:p>
      <w:pPr>
        <w:pStyle w:val="Compact"/>
        <w:numPr>
          <w:ilvl w:val="0"/>
          <w:numId w:val="1009"/>
        </w:numPr>
      </w:pPr>
      <w:r>
        <w:t xml:space="preserve">Low CLV = Bottom 20%</w:t>
      </w:r>
    </w:p>
    <w:p>
      <w:r>
        <w:pict>
          <v:rect style="width:0;height:1.5pt" o:hralign="center" o:hrstd="t" o:hr="t"/>
        </w:pict>
      </w:r>
    </w:p>
    <w:bookmarkEnd w:id="47"/>
    <w:bookmarkStart w:id="48" w:name="customer-segmentation"/>
    <w:p>
      <w:pPr>
        <w:pStyle w:val="Heading1"/>
      </w:pPr>
      <w:r>
        <w:t xml:space="preserve">9. Customer Segmentation</w:t>
      </w:r>
    </w:p>
    <w:p>
      <w:pPr>
        <w:pStyle w:val="FirstParagraph"/>
      </w:pPr>
      <w:r>
        <w:t xml:space="preserve">RFM Metrics:</w:t>
      </w:r>
    </w:p>
    <w:p>
      <w:pPr>
        <w:pStyle w:val="BodyText"/>
      </w:pPr>
      <w:r>
        <w:t xml:space="preserve">Recency:</w:t>
      </w:r>
      <w:r>
        <w:t xml:space="preserve"> </w:t>
      </w:r>
      <w:r>
        <w:t xml:space="preserve">Days since last purchase</w:t>
      </w:r>
    </w:p>
    <w:p>
      <w:pPr>
        <w:pStyle w:val="BodyText"/>
      </w:pPr>
      <w:r>
        <w:t xml:space="preserve">Frequency:</w:t>
      </w:r>
      <w:r>
        <w:t xml:space="preserve"> </w:t>
      </w:r>
      <w:r>
        <w:t xml:space="preserve">Number of purchases during prior 12 months</w:t>
      </w:r>
    </w:p>
    <w:p>
      <w:pPr>
        <w:pStyle w:val="BodyText"/>
      </w:pPr>
      <w:r>
        <w:t xml:space="preserve">Monetary:</w:t>
      </w:r>
      <w:r>
        <w:t xml:space="preserve"> </w:t>
      </w:r>
      <w:r>
        <w:t xml:space="preserve">Total spend during prior 12 months</w:t>
      </w:r>
    </w:p>
    <w:p>
      <w:pPr>
        <w:pStyle w:val="BodyText"/>
      </w:pPr>
      <w:r>
        <w:t xml:space="preserve">Segments:</w:t>
      </w:r>
    </w:p>
    <w:p>
      <w:pPr>
        <w:pStyle w:val="Compact"/>
        <w:numPr>
          <w:ilvl w:val="0"/>
          <w:numId w:val="1010"/>
        </w:numPr>
      </w:pPr>
      <w:r>
        <w:t xml:space="preserve">VIP</w:t>
      </w:r>
    </w:p>
    <w:p>
      <w:pPr>
        <w:pStyle w:val="Compact"/>
        <w:numPr>
          <w:ilvl w:val="0"/>
          <w:numId w:val="1010"/>
        </w:numPr>
      </w:pPr>
      <w:r>
        <w:t xml:space="preserve">Loyal</w:t>
      </w:r>
    </w:p>
    <w:p>
      <w:pPr>
        <w:pStyle w:val="Compact"/>
        <w:numPr>
          <w:ilvl w:val="0"/>
          <w:numId w:val="1010"/>
        </w:numPr>
      </w:pPr>
      <w:r>
        <w:t xml:space="preserve">New Customer</w:t>
      </w:r>
    </w:p>
    <w:p>
      <w:pPr>
        <w:pStyle w:val="Compact"/>
        <w:numPr>
          <w:ilvl w:val="0"/>
          <w:numId w:val="1010"/>
        </w:numPr>
      </w:pPr>
      <w:r>
        <w:t xml:space="preserve">At Risk</w:t>
      </w:r>
    </w:p>
    <w:p>
      <w:pPr>
        <w:pStyle w:val="Compact"/>
        <w:numPr>
          <w:ilvl w:val="0"/>
          <w:numId w:val="1010"/>
        </w:numPr>
      </w:pPr>
      <w:r>
        <w:t xml:space="preserve">Lost Customer</w:t>
      </w:r>
    </w:p>
    <w:p>
      <w:r>
        <w:pict>
          <v:rect style="width:0;height:1.5pt" o:hralign="center" o:hrstd="t" o:hr="t"/>
        </w:pict>
      </w:r>
    </w:p>
    <w:bookmarkEnd w:id="48"/>
    <w:bookmarkStart w:id="49" w:name="churn-indicators"/>
    <w:p>
      <w:pPr>
        <w:pStyle w:val="Heading1"/>
      </w:pPr>
      <w:r>
        <w:t xml:space="preserve">10. Churn Indicators</w:t>
      </w:r>
    </w:p>
    <w:p>
      <w:pPr>
        <w:pStyle w:val="FirstParagraph"/>
      </w:pPr>
      <w:r>
        <w:t xml:space="preserve">Calculated Metrics:</w:t>
      </w:r>
    </w:p>
    <w:p>
      <w:pPr>
        <w:pStyle w:val="Compact"/>
        <w:numPr>
          <w:ilvl w:val="0"/>
          <w:numId w:val="1011"/>
        </w:numPr>
      </w:pPr>
      <w:r>
        <w:t xml:space="preserve">Days Since Last Order</w:t>
      </w:r>
    </w:p>
    <w:p>
      <w:pPr>
        <w:pStyle w:val="Compact"/>
        <w:numPr>
          <w:ilvl w:val="0"/>
          <w:numId w:val="1011"/>
        </w:numPr>
      </w:pPr>
      <w:r>
        <w:t xml:space="preserve">Average Days Between Orders</w:t>
      </w:r>
    </w:p>
    <w:p>
      <w:pPr>
        <w:pStyle w:val="Compact"/>
        <w:numPr>
          <w:ilvl w:val="0"/>
          <w:numId w:val="1011"/>
        </w:numPr>
      </w:pPr>
      <w:r>
        <w:t xml:space="preserve">Spend Trend %</w:t>
      </w:r>
    </w:p>
    <w:p>
      <w:pPr>
        <w:pStyle w:val="FirstParagraph"/>
      </w:pPr>
      <w:r>
        <w:t xml:space="preserve">Risk Categories:</w:t>
      </w:r>
    </w:p>
    <w:p>
      <w:pPr>
        <w:pStyle w:val="Compact"/>
        <w:numPr>
          <w:ilvl w:val="0"/>
          <w:numId w:val="1012"/>
        </w:numPr>
      </w:pPr>
      <w:r>
        <w:t xml:space="preserve">Active (0-30 Days)</w:t>
      </w:r>
    </w:p>
    <w:p>
      <w:pPr>
        <w:pStyle w:val="Compact"/>
        <w:numPr>
          <w:ilvl w:val="0"/>
          <w:numId w:val="1012"/>
        </w:numPr>
      </w:pPr>
      <w:r>
        <w:t xml:space="preserve">Warning (31-45 Days)</w:t>
      </w:r>
    </w:p>
    <w:p>
      <w:pPr>
        <w:pStyle w:val="Compact"/>
        <w:numPr>
          <w:ilvl w:val="0"/>
          <w:numId w:val="1012"/>
        </w:numPr>
      </w:pPr>
      <w:r>
        <w:t xml:space="preserve">At Risk (46-90 Days)</w:t>
      </w:r>
    </w:p>
    <w:p>
      <w:pPr>
        <w:pStyle w:val="Compact"/>
        <w:numPr>
          <w:ilvl w:val="0"/>
          <w:numId w:val="1012"/>
        </w:numPr>
      </w:pPr>
      <w:r>
        <w:t xml:space="preserve">Churned (&gt;90 Days)</w:t>
      </w:r>
    </w:p>
    <w:p>
      <w:r>
        <w:pict>
          <v:rect style="width:0;height:1.5pt" o:hralign="center" o:hrstd="t" o:hr="t"/>
        </w:pict>
      </w:r>
    </w:p>
    <w:bookmarkEnd w:id="49"/>
    <w:bookmarkStart w:id="50" w:name="security-design"/>
    <w:p>
      <w:pPr>
        <w:pStyle w:val="Heading1"/>
      </w:pPr>
      <w:r>
        <w:t xml:space="preserve">11. Security Design</w:t>
      </w:r>
    </w:p>
    <w:p>
      <w:pPr>
        <w:pStyle w:val="FirstParagraph"/>
      </w:pPr>
      <w:r>
        <w:t xml:space="preserve">Security controls include:</w:t>
      </w:r>
    </w:p>
    <w:p>
      <w:pPr>
        <w:pStyle w:val="Compact"/>
        <w:numPr>
          <w:ilvl w:val="0"/>
          <w:numId w:val="1013"/>
        </w:numPr>
      </w:pPr>
      <w:r>
        <w:t xml:space="preserve">AWS KMS encryption</w:t>
      </w:r>
    </w:p>
    <w:p>
      <w:pPr>
        <w:pStyle w:val="Compact"/>
        <w:numPr>
          <w:ilvl w:val="0"/>
          <w:numId w:val="1013"/>
        </w:numPr>
      </w:pPr>
      <w:r>
        <w:t xml:space="preserve">IAM least privilege access</w:t>
      </w:r>
    </w:p>
    <w:p>
      <w:pPr>
        <w:pStyle w:val="Compact"/>
        <w:numPr>
          <w:ilvl w:val="0"/>
          <w:numId w:val="1013"/>
        </w:numPr>
      </w:pPr>
      <w:r>
        <w:t xml:space="preserve">Secrets Manager credential storage</w:t>
      </w:r>
    </w:p>
    <w:p>
      <w:pPr>
        <w:pStyle w:val="Compact"/>
        <w:numPr>
          <w:ilvl w:val="0"/>
          <w:numId w:val="1013"/>
        </w:numPr>
      </w:pPr>
      <w:r>
        <w:t xml:space="preserve">HTTPS/TLS encryption</w:t>
      </w:r>
    </w:p>
    <w:p>
      <w:pPr>
        <w:pStyle w:val="Compact"/>
        <w:numPr>
          <w:ilvl w:val="0"/>
          <w:numId w:val="1013"/>
        </w:numPr>
      </w:pPr>
      <w:r>
        <w:t xml:space="preserve">S3 bucket versioning</w:t>
      </w:r>
    </w:p>
    <w:p>
      <w:pPr>
        <w:pStyle w:val="Compact"/>
        <w:numPr>
          <w:ilvl w:val="0"/>
          <w:numId w:val="1013"/>
        </w:numPr>
      </w:pPr>
      <w:r>
        <w:t xml:space="preserve">CloudWatch monitoring</w:t>
      </w:r>
    </w:p>
    <w:p>
      <w:r>
        <w:pict>
          <v:rect style="width:0;height:1.5pt" o:hralign="center" o:hrstd="t" o:hr="t"/>
        </w:pict>
      </w:r>
    </w:p>
    <w:bookmarkEnd w:id="50"/>
    <w:bookmarkStart w:id="51" w:name="monitoring-and-alerting"/>
    <w:p>
      <w:pPr>
        <w:pStyle w:val="Heading1"/>
      </w:pPr>
      <w:r>
        <w:t xml:space="preserve">12. Monitoring and Alerting</w:t>
      </w:r>
    </w:p>
    <w:p>
      <w:pPr>
        <w:pStyle w:val="FirstParagraph"/>
      </w:pPr>
      <w:r>
        <w:t xml:space="preserve">CloudWatch monitors:</w:t>
      </w:r>
    </w:p>
    <w:p>
      <w:pPr>
        <w:pStyle w:val="Compact"/>
        <w:numPr>
          <w:ilvl w:val="0"/>
          <w:numId w:val="1014"/>
        </w:numPr>
      </w:pPr>
      <w:r>
        <w:t xml:space="preserve">Glue Jobs</w:t>
      </w:r>
    </w:p>
    <w:p>
      <w:pPr>
        <w:pStyle w:val="Compact"/>
        <w:numPr>
          <w:ilvl w:val="0"/>
          <w:numId w:val="1014"/>
        </w:numPr>
      </w:pPr>
      <w:r>
        <w:t xml:space="preserve">DMS Replication</w:t>
      </w:r>
    </w:p>
    <w:p>
      <w:pPr>
        <w:pStyle w:val="Compact"/>
        <w:numPr>
          <w:ilvl w:val="0"/>
          <w:numId w:val="1014"/>
        </w:numPr>
      </w:pPr>
      <w:r>
        <w:t xml:space="preserve">Athena Queries</w:t>
      </w:r>
    </w:p>
    <w:p>
      <w:pPr>
        <w:pStyle w:val="FirstParagraph"/>
      </w:pPr>
      <w:r>
        <w:t xml:space="preserve">SNS sends alerts for:</w:t>
      </w:r>
    </w:p>
    <w:p>
      <w:pPr>
        <w:pStyle w:val="Compact"/>
        <w:numPr>
          <w:ilvl w:val="0"/>
          <w:numId w:val="1015"/>
        </w:numPr>
      </w:pPr>
      <w:r>
        <w:t xml:space="preserve">ETL failures</w:t>
      </w:r>
    </w:p>
    <w:p>
      <w:pPr>
        <w:pStyle w:val="Compact"/>
        <w:numPr>
          <w:ilvl w:val="0"/>
          <w:numId w:val="1015"/>
        </w:numPr>
      </w:pPr>
      <w:r>
        <w:t xml:space="preserve">Validation failures</w:t>
      </w:r>
    </w:p>
    <w:p>
      <w:pPr>
        <w:pStyle w:val="Compact"/>
        <w:numPr>
          <w:ilvl w:val="0"/>
          <w:numId w:val="1015"/>
        </w:numPr>
      </w:pPr>
      <w:r>
        <w:t xml:space="preserve">Data quality violations</w:t>
      </w:r>
    </w:p>
    <w:p>
      <w:r>
        <w:pict>
          <v:rect style="width:0;height:1.5pt" o:hralign="center" o:hrstd="t" o:hr="t"/>
        </w:pict>
      </w:r>
    </w:p>
    <w:bookmarkEnd w:id="51"/>
    <w:bookmarkStart w:id="52" w:name="cicd-design"/>
    <w:p>
      <w:pPr>
        <w:pStyle w:val="Heading1"/>
      </w:pPr>
      <w:r>
        <w:t xml:space="preserve">13. CI/CD Design</w:t>
      </w:r>
    </w:p>
    <w:p>
      <w:pPr>
        <w:pStyle w:val="FirstParagraph"/>
      </w:pPr>
      <w:r>
        <w:t xml:space="preserve">GitHub Actions Pipeline:</w:t>
      </w:r>
    </w:p>
    <w:p>
      <w:pPr>
        <w:pStyle w:val="BodyText"/>
      </w:pPr>
      <w:r>
        <w:t xml:space="preserve">Source Code Commit</w:t>
      </w:r>
      <w:r>
        <w:t xml:space="preserve"> </w:t>
      </w:r>
      <w:r>
        <w:t xml:space="preserve">→ Lint</w:t>
      </w:r>
      <w:r>
        <w:t xml:space="preserve"> </w:t>
      </w:r>
      <w:r>
        <w:t xml:space="preserve">→ Unit Tests</w:t>
      </w:r>
      <w:r>
        <w:t xml:space="preserve"> </w:t>
      </w:r>
      <w:r>
        <w:t xml:space="preserve">→ Package Deployment</w:t>
      </w:r>
      <w:r>
        <w:t xml:space="preserve"> </w:t>
      </w:r>
      <w:r>
        <w:t xml:space="preserve">→ Deploy Glue Jobs</w:t>
      </w:r>
      <w:r>
        <w:t xml:space="preserve"> </w:t>
      </w:r>
      <w:r>
        <w:t xml:space="preserve">→ Deploy Streamlit Application</w:t>
      </w:r>
    </w:p>
    <w:p>
      <w:r>
        <w:pict>
          <v:rect style="width:0;height:1.5pt" o:hralign="center" o:hrstd="t" o:hr="t"/>
        </w:pict>
      </w:r>
    </w:p>
    <w:bookmarkEnd w:id="52"/>
    <w:bookmarkStart w:id="53" w:name="dashboard-requirements"/>
    <w:p>
      <w:pPr>
        <w:pStyle w:val="Heading1"/>
      </w:pPr>
      <w:r>
        <w:t xml:space="preserve">14. Dashboard Requirements</w:t>
      </w:r>
    </w:p>
    <w:p>
      <w:pPr>
        <w:pStyle w:val="FirstParagraph"/>
      </w:pPr>
      <w:r>
        <w:t xml:space="preserve">The Streamlit dashboard includes:</w:t>
      </w:r>
    </w:p>
    <w:p>
      <w:pPr>
        <w:pStyle w:val="Compact"/>
        <w:numPr>
          <w:ilvl w:val="0"/>
          <w:numId w:val="1016"/>
        </w:numPr>
      </w:pPr>
      <w:r>
        <w:t xml:space="preserve">Customer Segmentation</w:t>
      </w:r>
    </w:p>
    <w:p>
      <w:pPr>
        <w:pStyle w:val="Compact"/>
        <w:numPr>
          <w:ilvl w:val="0"/>
          <w:numId w:val="1016"/>
        </w:numPr>
      </w:pPr>
      <w:r>
        <w:t xml:space="preserve">Customer Lifetime Value</w:t>
      </w:r>
    </w:p>
    <w:p>
      <w:pPr>
        <w:pStyle w:val="Compact"/>
        <w:numPr>
          <w:ilvl w:val="0"/>
          <w:numId w:val="1016"/>
        </w:numPr>
      </w:pPr>
      <w:r>
        <w:t xml:space="preserve">Churn Risk Indicators</w:t>
      </w:r>
    </w:p>
    <w:p>
      <w:pPr>
        <w:pStyle w:val="Compact"/>
        <w:numPr>
          <w:ilvl w:val="0"/>
          <w:numId w:val="1016"/>
        </w:numPr>
      </w:pPr>
      <w:r>
        <w:t xml:space="preserve">Sales Trends &amp; Seasonality</w:t>
      </w:r>
    </w:p>
    <w:p>
      <w:pPr>
        <w:pStyle w:val="Compact"/>
        <w:numPr>
          <w:ilvl w:val="0"/>
          <w:numId w:val="1016"/>
        </w:numPr>
      </w:pPr>
      <w:r>
        <w:t xml:space="preserve">Loyalty Program Impact</w:t>
      </w:r>
    </w:p>
    <w:p>
      <w:pPr>
        <w:pStyle w:val="Compact"/>
        <w:numPr>
          <w:ilvl w:val="0"/>
          <w:numId w:val="1016"/>
        </w:numPr>
      </w:pPr>
      <w:r>
        <w:t xml:space="preserve">Location Performance</w:t>
      </w:r>
    </w:p>
    <w:p>
      <w:pPr>
        <w:pStyle w:val="Compact"/>
        <w:numPr>
          <w:ilvl w:val="0"/>
          <w:numId w:val="1016"/>
        </w:numPr>
      </w:pPr>
      <w:r>
        <w:t xml:space="preserve">Pricing &amp; Discount Effectiveness</w:t>
      </w:r>
    </w:p>
    <w:p>
      <w:r>
        <w:pict>
          <v:rect style="width:0;height:1.5pt" o:hralign="center" o:hrstd="t" o:hr="t"/>
        </w:pict>
      </w:r>
    </w:p>
    <w:bookmarkEnd w:id="53"/>
    <w:bookmarkStart w:id="54" w:name="benefits"/>
    <w:p>
      <w:pPr>
        <w:pStyle w:val="Heading1"/>
      </w:pPr>
      <w:r>
        <w:t xml:space="preserve">15. Benefits</w:t>
      </w:r>
    </w:p>
    <w:p>
      <w:pPr>
        <w:pStyle w:val="FirstParagraph"/>
      </w:pPr>
      <w:r>
        <w:t xml:space="preserve">The solution provides:</w:t>
      </w:r>
    </w:p>
    <w:p>
      <w:pPr>
        <w:pStyle w:val="Compact"/>
        <w:numPr>
          <w:ilvl w:val="0"/>
          <w:numId w:val="1017"/>
        </w:numPr>
      </w:pPr>
      <w:r>
        <w:t xml:space="preserve">Daily CLV visibility</w:t>
      </w:r>
    </w:p>
    <w:p>
      <w:pPr>
        <w:pStyle w:val="Compact"/>
        <w:numPr>
          <w:ilvl w:val="0"/>
          <w:numId w:val="1017"/>
        </w:numPr>
      </w:pPr>
      <w:r>
        <w:t xml:space="preserve">Customer retention insights</w:t>
      </w:r>
    </w:p>
    <w:p>
      <w:pPr>
        <w:pStyle w:val="Compact"/>
        <w:numPr>
          <w:ilvl w:val="0"/>
          <w:numId w:val="1017"/>
        </w:numPr>
      </w:pPr>
      <w:r>
        <w:t xml:space="preserve">Improved marketing targeting</w:t>
      </w:r>
    </w:p>
    <w:p>
      <w:pPr>
        <w:pStyle w:val="Compact"/>
        <w:numPr>
          <w:ilvl w:val="0"/>
          <w:numId w:val="1017"/>
        </w:numPr>
      </w:pPr>
      <w:r>
        <w:t xml:space="preserve">Operational performance monitoring</w:t>
      </w:r>
    </w:p>
    <w:p>
      <w:pPr>
        <w:pStyle w:val="Compact"/>
        <w:numPr>
          <w:ilvl w:val="0"/>
          <w:numId w:val="1017"/>
        </w:numPr>
      </w:pPr>
      <w:r>
        <w:t xml:space="preserve">Promotion effectiveness measurement</w:t>
      </w:r>
    </w:p>
    <w:p>
      <w:pPr>
        <w:pStyle w:val="Compact"/>
        <w:numPr>
          <w:ilvl w:val="0"/>
          <w:numId w:val="1017"/>
        </w:numPr>
      </w:pPr>
      <w:r>
        <w:t xml:space="preserve">Scalable cloud-native architecture</w:t>
      </w:r>
    </w:p>
    <w:p>
      <w:pPr>
        <w:pStyle w:val="Compact"/>
        <w:numPr>
          <w:ilvl w:val="0"/>
          <w:numId w:val="1017"/>
        </w:numPr>
      </w:pPr>
      <w:r>
        <w:t xml:space="preserve">Secure enterprise-grade analytics platform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2026-06-11T11:05:21Z</dcterms:created>
  <dcterms:modified xsi:type="dcterms:W3CDTF">2026-06-11T11:05:21Z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