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 — A Pre-Registered Ledger of Feature Families for Single-Energy CT Stone-Composition Prediction: What Works, and What Does Not</w:t>
      </w:r>
    </w:p>
    <w:p>
      <w:pPr>
        <w:pStyle w:val="Heading2"/>
      </w:pPr>
      <w:r>
        <w:t>S1. Rationale</w:t>
      </w:r>
    </w:p>
    <w:p>
      <w:r>
        <w:t xml:space="preserve">The clinically actionable question in single-energy non-contrast CT (NCCT) stone imaging is whether stone composition can be estimated well enough, from data already collected at presentation, to guide definitive management. The dominant decisions are uric-acid vs. non-uric-acid (dissolvable vs. not) and, among calcium stones, </w:t>
      </w:r>
      <w:r>
        <w:rPr>
          <w:b/>
        </w:rPr>
        <w:t>calcium oxalate (CaOx) vs. calcium phosphate (CaP)</w:t>
      </w:r>
      <w:r>
        <w:t xml:space="preserve"> — a distinction with metabolic and preventive consequences. Struvite is not a modeling target: infection stones are a clinical diagnosis (alkaline, turbid, malodorous urine at pH 7–8.5; dysuria, flank pain, recurrent UTI, frequently impending sepsis) that any emergency clinician makes without a model.</w:t>
      </w:r>
    </w:p>
    <w:p>
      <w:r>
        <w:t xml:space="preserve">This supplement reports, in one place, </w:t>
      </w:r>
      <w:r>
        <w:rPr>
          <w:b/>
        </w:rPr>
        <w:t>every feature family we tested</w:t>
      </w:r>
      <w:r>
        <w:t xml:space="preserve"> — the hypothesis and mechanistic rationale that motivated each, the extraction/derivation method, the evaluation, the result, and the disposition — with the successes grouped alongside the failures. Negative results are reported deliberately and in full: publishing only positive findings leaves others to repeatedly expend resources on avenues that do not bear fruit. Our aim is to delineate the boundary of what single-energy NCCT plus routinely available data can and cannot resolve, so that subsequent work is directed at the informative gaps (Section S4).</w:t>
      </w:r>
    </w:p>
    <w:p>
      <w:r>
        <w:t xml:space="preserve">Unless stated otherwise, evaluation is </w:t>
      </w:r>
      <w:r>
        <w:rPr>
          <w:b/>
        </w:rPr>
        <w:t>repeated stratified patient-grouped 5-fold cross-validation</w:t>
      </w:r>
      <w:r>
        <w:t xml:space="preserve"> with </w:t>
      </w:r>
      <w:r>
        <w:rPr>
          <w:b/>
        </w:rPr>
        <w:t>patient-clustered bootstrap 95% CIs</w:t>
      </w:r>
      <w:r>
        <w:t xml:space="preserve">; the calcium-subtype tests use a dedicated CaOx-vs-CaP binary head (positive class = CaP) with the deltas expressed against the </w:t>
      </w:r>
      <w:r>
        <w:rPr>
          <w:b/>
        </w:rPr>
        <w:t>HU + routine-labs</w:t>
      </w:r>
      <w:r>
        <w:t xml:space="preserve"> baseline (AUROC 0.710). Cohort: 319 laboratory-analyzed stones from 223 patients (CaOx 107, CaP 144, UA 36, struvite 27, other 5). The ledger spans two endpoints — </w:t>
      </w:r>
      <w:r>
        <w:rPr>
          <w:b/>
        </w:rPr>
        <w:t>composition</w:t>
      </w:r>
      <w:r>
        <w:t xml:space="preserve"> (which stone type; Table S1) and </w:t>
      </w:r>
      <w:r>
        <w:rPr>
          <w:b/>
        </w:rPr>
        <w:t>multicomponent detection</w:t>
      </w:r>
      <w:r>
        <w:t xml:space="preserve"> (whether a stone is mixed at all; Table S2, §S5).</w:t>
      </w:r>
    </w:p>
    <w:p>
      <w:pPr>
        <w:pStyle w:val="Heading2"/>
      </w:pPr>
      <w:r>
        <w:t>S2. Master ledger (Table S1)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Domain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Feature family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Hypothesis / rationale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Key result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Retained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R1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Lean UA model (stone peak/mean HU; urine pH; CO₂/Cl/anion gap; BUN, Cr, Ca, glucose; age, sex)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UA is acid-driven and low-HU; routine data should identify it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AUROC 0.781 (0.677–0.867), NPV 0.97, Brier 0.086; positive net benefit across 10–50% thresholds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Deployed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R2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CaOx-vs-CaP head, HU + routine labs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Acid–base chemistry (pH, RTA pattern, Ca) separates the calcium subtypes better than HU alone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HU 0.665 → HU+labs 0.710 (0.637–0.778); beats 5-class CaP OvR (0.674)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Deployed (cascade + high-sensitivity CaP screen)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R3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Nephrocalcinosis (parenchymal calcific foci)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dRTA / hyperparathyroidism / MSK cause parenchymal Ca deposition and CaP stones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Biology clean (CaP frac 10× CaOx) but head Δ +0.013 (CI crosses 0); outlier-driven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Radiologic flag, not a model feature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Rejected — imaging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Hb-anchored HU calibration (air + aortic-blood anchors)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Normalize scanner HU offset to sharpen composition-HU mapping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No same-composition variance reduction (scanner offset ~10 HU ≪ ~220 HU biological spread)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Self-supervised 3D CNN (frozen-encoder deep features)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Learned volumetric features may capture texture beyond handcrafted HU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Underperformed; deep features did not cluster by composition; degraded fusion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HU-distribution-shape radiomics (skew, kurtosis, entropy, GMM modes, Shapiro)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Multi-component / zoned stones have distinctive HU histograms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Reduced cross-validated AUC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Cohort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Multi-stone N-lift (volume↔mass rank matching, 131→319)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More labeled stones per patient → power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Neutral (kept for N; no lift)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 (as a lift)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Stone density gradient (core/periphery HU ratio)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CaOx retains a dense core; CaP tapers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CaOx 2.86 vs CaP 2.80 (gap 0.06 vs SD 1.2); head Δ −0.013; SHAP 13/17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Labs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Normal-AG (hyperchloremic) acidosis composite + hyperchloremia index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Explicit dRTA/GI-loss signature the tree may not synthesize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Δ −0.000 (CI −0.009,+0.008); redundant with raw CO₂/Cl/AG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Labs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eGFR (CKD-EPI 2021)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CKD shifts mineral metabolism toward CaP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Δ −0.009; SHAP rank 7 yet OOF-flat (redundant with Cr/age/sex)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Opportunistic vertebral BMD (L1–L3 trabecular HU)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Hypercalciuria/dRTA ↔ low BMD ↔ calcium stones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Full-cohort +0.028 but complete-case crosses 0; flat by-composition (187 vs 194); 35% missing (FOV)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F9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Hepatic steatosis (liver−spleen HU)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Gut dysbiosis raises enteric oxalate (CaOx) and hepatic fat → fatty liver &gt; in CaOx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Steatosis CaOx 13% vs CaP 17% (p=0.71, reversed); Δ −0.006; signal is UA (already captured)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F10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Sarcopenia / muscle quality (paraspinal+psoas HU, volume)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Body composition indexes metabolic phenotype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Δ −0.023 (P 0.03, worse); muscle-volume SHAP rank 5 while hurting (body-size confound)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F11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Aortic calcification (Agatston-style, denoised)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Ca×PO₄ / CKD-MBD mineral axis (no serum PO₄/PTH in data) → CaP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Age-adjusted coef −0.10 (CI −0.41,+0.21); CaOx ≥ CaP (330 vs 249); head Δ +0.001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F12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Bladder wall fraction / volume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Chronic cystitis/obstruction → struvite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Bladder-only Δ +0.017 (P 0.79); distension-confounded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F13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Imaging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Prostate calcification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Chronic prostatitis → struvite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SHAP rank 1/22 but a sex proxy (79% M / 1% F); non-significant; lowers 5-class struvite AUC 0.686→0.626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Rejected (leak)</w:t>
            </w:r>
          </w:p>
        </w:tc>
      </w:tr>
    </w:tbl>
    <w:p>
      <w:pPr>
        <w:pStyle w:val="Heading2"/>
      </w:pPr>
      <w:r>
        <w:t>S3. Detail by family</w:t>
      </w:r>
    </w:p>
    <w:p>
      <w:pPr>
        <w:pStyle w:val="Heading3"/>
      </w:pPr>
      <w:r>
        <w:t>A. Retained models (R1–R2) and the one flag (R3)</w:t>
      </w:r>
    </w:p>
    <w:p>
      <w:r>
        <w:t xml:space="preserve">The </w:t>
      </w:r>
      <w:r>
        <w:rPr>
          <w:b/>
        </w:rPr>
        <w:t>lean UA model</w:t>
      </w:r>
      <w:r>
        <w:t xml:space="preserve"> (R1) is the primary clinical product: at a high-sensitivity operating point it rules out uric acid with NPV 0.97 and shows positive decision-curve net benefit across the plausible threshold range. The </w:t>
      </w:r>
      <w:r>
        <w:rPr>
          <w:b/>
        </w:rPr>
        <w:t>CaOx-vs-CaP head</w:t>
      </w:r>
      <w:r>
        <w:t xml:space="preserve"> (R2) is the only feature *addition* that improved the calcium-subtype decision: adding the routine metabolic panel to stone HU raised AUROC from 0.665 to 0.710 — the discriminating information for the calcium split is </w:t>
      </w:r>
      <w:r>
        <w:rPr>
          <w:b/>
        </w:rPr>
        <w:t>chemical, not morphological</w:t>
      </w:r>
      <w:r>
        <w:t xml:space="preserve"> (Main Figs 6–7). </w:t>
      </w:r>
      <w:r>
        <w:rPr>
          <w:b/>
        </w:rPr>
        <w:t>Nephrocalcinosis</w:t>
      </w:r>
      <w:r>
        <w:t xml:space="preserve"> (R3) is the sole imaging feature with clean, correct biology (mean parenchymal-calcification fraction ~10× higher in CaP than CaOx; prevalence CaOx 21% → CaP 33%); it is retained as a </w:t>
      </w:r>
      <w:r>
        <w:rPr>
          <w:b/>
        </w:rPr>
        <w:t>deterministic radiologic flag</w:t>
      </w:r>
      <w:r>
        <w:t xml:space="preserve"> that prompts a CaP/dRTA/hyperparathyroidism work-up when substantial foci are auto-detected, because as a learned feature it is carried by a handful of high-burden cases and does not survive outlier removal (Δ +0.013 → +0.004).</w:t>
      </w:r>
    </w:p>
    <w:p>
      <w:pPr>
        <w:pStyle w:val="Heading3"/>
      </w:pPr>
      <w:r>
        <w:t>B. Rejected imaging features (F1–F5, F8–F13)</w:t>
      </w:r>
    </w:p>
    <w:p>
      <w:r>
        <w:t xml:space="preserve">These span three mechanistic bets. </w:t>
      </w:r>
      <w:r>
        <w:rPr>
          <w:b/>
        </w:rPr>
        <w:t>HU fidelity</w:t>
      </w:r>
      <w:r>
        <w:t xml:space="preserve"> (F1 calibration, F2 CNN, F3 shape radiomics, F5 density gradient): none beat handcrafted peak/mean HU — the composition signal in attenuation is low-dimensional and adding HU-derived complexity overfits at this N. </w:t>
      </w:r>
      <w:r>
        <w:rPr>
          <w:b/>
        </w:rPr>
        <w:t>Bone/mineral-metabolism surrogates</w:t>
      </w:r>
      <w:r>
        <w:t xml:space="preserve"> (F8 BMD, F11 aortic calcification): both index axes (bone loss, vascular calcium) that are dominated by </w:t>
      </w:r>
      <w:r>
        <w:rPr>
          <w:b/>
        </w:rPr>
        <w:t>age</w:t>
      </w:r>
      <w:r>
        <w:t xml:space="preserve"> — already modeled — and, for vascular calcium, index the hypercalciuria/CaOx phenotype as much as the phosphate/CaP one, netting to null. </w:t>
      </w:r>
      <w:r>
        <w:rPr>
          <w:b/>
        </w:rPr>
        <w:t>Systemic/metabolic surrogates</w:t>
      </w:r>
      <w:r>
        <w:t xml:space="preserve"> (F9 hepatic steatosis, F10 sarcopenia, F12–F13 bladder/prostate): each re-encodes the metabolic-syndrome/urine-pH axis (F9's steatosis signal is real but belongs to UA, already captured) or, worse, a confound — F13 prostate calcification is a </w:t>
      </w:r>
      <w:r>
        <w:rPr>
          <w:b/>
        </w:rPr>
        <w:t>sex indicator</w:t>
      </w:r>
      <w:r>
        <w:t xml:space="preserve"> (present in 79% of males, 1% of females) that the model exploits, ranked first by SHAP yet non-significant and harmful to its intended target class.</w:t>
      </w:r>
    </w:p>
    <w:p>
      <w:pPr>
        <w:pStyle w:val="Heading3"/>
      </w:pPr>
      <w:r>
        <w:t>C. Rejected lab/derived features (F6–F7)</w:t>
      </w:r>
    </w:p>
    <w:p>
      <w:r>
        <w:t>The routine chemistry is fully exploited by the raw analytes: an explicit normal-anion-gap-acidosis composite (F6) and CKD-EPI eGFR (F7) are deterministic functions of values already in the model (CO₂/Cl/anion gap; creatinine/age/sex) and add nothing out-of-fold, despite SHAP attending to eGFR (rank 7).</w:t>
      </w:r>
    </w:p>
    <w:p>
      <w:pPr>
        <w:pStyle w:val="Heading2"/>
      </w:pPr>
      <w:r>
        <w:t>S4. Methodological through-line and interpretation</w:t>
      </w:r>
    </w:p>
    <w:p>
      <w:r>
        <w:t>Three recurring findings organize the ledger:</w:t>
      </w:r>
    </w:p>
    <w:p>
      <w:r>
        <w:t xml:space="preserve">1. </w:t>
      </w:r>
      <w:r>
        <w:rPr>
          <w:b/>
        </w:rPr>
        <w:t>Feature importance is not predictive value.</w:t>
      </w:r>
      <w:r>
        <w:t xml:space="preserve"> Repeatedly, a feature drew high SHAP attention while adding nothing (eGFR, rank 7) or actively hurting (muscle volume, rank 5; prostate calcification, rank 1) out-of-fold. Adjudication was therefore on grouped-CV ΔAUROC with patient-clustered bootstrap CIs, never on importance. Figure S1 shows every family's Δ against the HU+labs baseline: </w:t>
      </w:r>
      <w:r>
        <w:rPr>
          <w:b/>
        </w:rPr>
        <w:t>all confidence intervals cross zero.</w:t>
      </w:r>
    </w:p>
    <w:p>
      <w:r>
        <w:t xml:space="preserve">2. </w:t>
      </w:r>
      <w:r>
        <w:rPr>
          <w:b/>
        </w:rPr>
        <w:t>Apparent gains require verification.</w:t>
      </w:r>
      <w:r>
        <w:t xml:space="preserve"> The one nominally significant full-cohort result (nephrocalcinosis + BMD, +0.038) dissolved under complete-case analysis (removing the 35% of scans without lumbar spine in the field of view: +0.024, CI crossing zero) and outlier removal. The bladder/prostate "gain" (+0.039) was a sex-proxy leak. Every candidate was subjected to complete-case, age-adjusted, and/or outlier-robustness checks before disposition.</w:t>
      </w:r>
    </w:p>
    <w:p>
      <w:r>
        <w:t xml:space="preserve">3. </w:t>
      </w:r>
      <w:r>
        <w:rPr>
          <w:b/>
        </w:rPr>
        <w:t>The information boundary.</w:t>
      </w:r>
      <w:r>
        <w:t xml:space="preserve"> Across thirteen rejected families spanning HU fidelity, mineral-metabolism surrogates, systemic-metabolic surrogates, and derived chemistry, single-energy composition prediction is </w:t>
      </w:r>
      <w:r>
        <w:rPr>
          <w:b/>
        </w:rPr>
        <w:t>saturated by stone attenuation and urine/acid–base chemistry</w:t>
      </w:r>
      <w:r>
        <w:t xml:space="preserve">. The residual CaOx-vs-CaP ceiling (~0.71) is not a modeling limitation to be engineered away with additional CT-derived or routine-lab features; it reflects the absence of the </w:t>
      </w:r>
      <w:r>
        <w:rPr>
          <w:b/>
        </w:rPr>
        <w:t>stone-specific analytes</w:t>
      </w:r>
      <w:r>
        <w:t xml:space="preserve"> that define the two supersaturation states — most directly </w:t>
      </w:r>
      <w:r>
        <w:rPr>
          <w:b/>
        </w:rPr>
        <w:t>urinary oxalate</w:t>
      </w:r>
      <w:r>
        <w:t xml:space="preserve"> (the swing driver of CaOx supersaturation) and its modifiers (magnesium, citrate), which are not present in routine data and are not inferable from single-energy attenuation.</w:t>
      </w:r>
    </w:p>
    <w:p>
      <w:pPr>
        <w:pStyle w:val="Heading2"/>
      </w:pPr>
      <w:r>
        <w:t>S5. A second endpoint — multicomponent detection (an exhaustive negative)</w:t>
      </w:r>
    </w:p>
    <w:p>
      <w:r>
        <w:t xml:space="preserve">Recasting the problem around management decisions (main text §3.7) raises a distinct, coarser question grounded in stone pathophysiology: most stones are </w:t>
      </w:r>
      <w:r>
        <w:rPr>
          <w:b/>
        </w:rPr>
        <w:t>multicomponent</w:t>
      </w:r>
      <w:r>
        <w:t xml:space="preserve"> (68% here), laminating a nidus with a shell of different composition — so </w:t>
      </w:r>
      <w:r>
        <w:rPr>
          <w:b/>
        </w:rPr>
        <w:t>can any routine‑data channel detect *that a stone is mixed*, without resolving what it is mixed of?</w:t>
      </w:r>
      <w:r>
        <w:t xml:space="preserve"> This is a lower bar than composition subtyping (heterogeneity, not identity) with better‑balanced classes, and it was tested exhaustively. Every feature family of the study — plus a dedicated </w:t>
      </w:r>
      <w:r>
        <w:rPr>
          <w:b/>
        </w:rPr>
        <w:t>peak‑deconvolution</w:t>
      </w:r>
      <w:r>
        <w:t xml:space="preserve"> family added for this question (per‑stone 1‑ vs 2‑Gaussian mixture fits: peak separation, Sarle's bimodality coefficient, skewness, and the 2‑vs‑1 BIC evidence) — was evaluated against the multicomponent label under the same patient‑grouped CV with clustered bootstrap.</w:t>
      </w:r>
    </w:p>
    <w:p>
      <w:r>
        <w:rPr>
          <w:b/>
        </w:rPr>
        <w:t>Table S2. Multicomponent detection by channel</w:t>
      </w:r>
      <w:r>
        <w:t xml:space="preserve"> (multicomponent = second‑component fraction ≥ 10%; AUROC, patient‑clustered bootstrap 95% CI; Figure S4).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Channel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n feat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AUROC (95% CI)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Stone HU (base)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0.552 (0.480–0.625)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HU‑shape radiomics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0.553 (0.482–0.619)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Density gradient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0.426 (0.353–0.496)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below chance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Hb‑calibrated HU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0.422 (0.356–0.491)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below chance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CNN deep features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0.480 (0.413–0.545)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Labs / urine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0.484 (0.415–0.549)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Derived acid–base + eGFR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0.433 (0.360–0.507)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Demographics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0.435 (0.367–0.504)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Nephrocalcinosis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0.357 (0.290–0.428)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below chance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Vertebral BMD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0.459 (0.390–0.527)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Hepatic steatosis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0.569 (0.488–0.649)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Sarcopenia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0.481 (0.407–0.559)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Aortic calcification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0.427 (0.360–0.494)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below chance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Bladder / prostate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0.414 (0.345–0.485)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below chance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Peak deconvolution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0.527 (0.455–0.598)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null (0.375 at ≥25%)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All combined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0.626 (0.557–0.695)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UA‑purity confound</w:t>
            </w:r>
          </w:p>
        </w:tc>
      </w:tr>
    </w:tbl>
    <w:p>
      <w:r>
        <w:rPr>
          <w:b/>
        </w:rPr>
        <w:t>No channel detects multicomponent structure.</w:t>
      </w:r>
      <w:r>
        <w:t xml:space="preserve"> Every individual family's interval crosses chance, several below it. The single apparent gain — the 115‑feature combined model at </w:t>
      </w:r>
      <w:r>
        <w:rPr>
          <w:b/>
        </w:rPr>
        <w:t>0.626 (0.557–0.695)</w:t>
      </w:r>
      <w:r>
        <w:t xml:space="preserve"> — is a </w:t>
      </w:r>
      <w:r>
        <w:rPr>
          <w:b/>
        </w:rPr>
        <w:t>uric‑acid‑purity confound</w:t>
      </w:r>
      <w:r>
        <w:t xml:space="preserve">, not multicomponent detection: uric‑acid stones are </w:t>
      </w:r>
      <w:r>
        <w:rPr>
          <w:b/>
        </w:rPr>
        <w:t>39% multicomponent vs. 72% for non‑UA</w:t>
      </w:r>
      <w:r>
        <w:t xml:space="preserve">, so predicting "mixed" is largely predicting "not‑UA," which the model already does (Node A). Two orthogonal controls expose it: restricting to calcium stones (removing the UA axis) drops the combined model to </w:t>
      </w:r>
      <w:r>
        <w:rPr>
          <w:b/>
        </w:rPr>
        <w:t>0.549 (non‑significant)</w:t>
      </w:r>
      <w:r>
        <w:t xml:space="preserve">, and a clean ≥25% mixedness threshold drops it to </w:t>
      </w:r>
      <w:r>
        <w:rPr>
          <w:b/>
        </w:rPr>
        <w:t>0.491 (chance)</w:t>
      </w:r>
      <w:r>
        <w:t>.</w:t>
      </w:r>
    </w:p>
    <w:p>
      <w:r>
        <w:rPr>
          <w:b/>
        </w:rPr>
        <w:t>Peak deconvolution</w:t>
      </w:r>
      <w:r>
        <w:t xml:space="preserve"> — the most direct attempt, actively fitting two overlapping Gaussians and measuring their separation and skewness (two unequal overlapping peaks sum to a skewed composite) — was itself at chance (0.53, size‑robust set excluding the voxel‑count‑confounded BIC), *below* chance at the clean threshold (0.375), added nothing to the HU‑shape moments (0.526→0.541), and was matched by a </w:t>
      </w:r>
      <w:r>
        <w:rPr>
          <w:b/>
        </w:rPr>
        <w:t>stone‑volume‑only baseline</w:t>
      </w:r>
      <w:r>
        <w:t xml:space="preserve"> — what little varied was stone size, not bimodality. At clinical slice thickness (≈3 mm) partial‑volume averaging erases the two‑peak structure. The lamination is histologically real but not resolvable on single‑energy clinical CT: </w:t>
      </w:r>
      <w:r>
        <w:rPr>
          <w:b/>
        </w:rPr>
        <w:t>the multicomponent architecture that characterizes most stones is undetectable by any channel a standard ED visit provides</w:t>
      </w:r>
      <w:r>
        <w:t xml:space="preserve"> — a reinforcement, at a coarser and better‑powered endpoint, of the composition‑subtyping boundary in Table S1.</w:t>
      </w:r>
    </w:p>
    <w:p>
      <w:pPr>
        <w:pStyle w:val="Heading2"/>
      </w:pPr>
      <w:r>
        <w:t>S6. Figures</w:t>
      </w:r>
    </w:p>
    <w:p>
      <w:r>
        <w:drawing>
          <wp:inline xmlns:a="http://schemas.openxmlformats.org/drawingml/2006/main" xmlns:pic="http://schemas.openxmlformats.org/drawingml/2006/picture">
            <wp:extent cx="5486400" cy="3347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for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S1.</w:t>
      </w:r>
      <w:r>
        <w:t xml:space="preserve"> Forest plot of ΔAUROC for each feature family added to the HU+labs CaOx-vs-CaP head (patient-clustered bootstrap 95% CI). All intervals cross zero; the only genuine improvement was adding the routine metabolic panel to stone HU (baseline, AUROC 0.710). Grey = rejected; orange = apparent gain traced to a confound/leak (bladder/prostate = sex proxy); blue = retained as a radiologic flag (nephrocalcinosis).</w:t>
      </w:r>
    </w:p>
    <w:p>
      <w:r>
        <w:drawing>
          <wp:inline xmlns:a="http://schemas.openxmlformats.org/drawingml/2006/main" xmlns:pic="http://schemas.openxmlformats.org/drawingml/2006/picture">
            <wp:extent cx="5486400" cy="4987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con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S2.</w:t>
      </w:r>
      <w:r>
        <w:t xml:space="preserve"> Five-class composition confusion matrix (row-normalized), patient-level cross-validation.</w:t>
      </w:r>
    </w:p>
    <w:p>
      <w:r>
        <w:drawing>
          <wp:inline xmlns:a="http://schemas.openxmlformats.org/drawingml/2006/main" xmlns:pic="http://schemas.openxmlformats.org/drawingml/2006/picture">
            <wp:extent cx="5486400" cy="20948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decision_no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S3.</w:t>
      </w:r>
      <w:r>
        <w:t xml:space="preserve"> Decision-node performance (left) and the multicomponent threshold sweep (right). Routine data resolves the dissolvable decision (Node A, uric acid vs. non-UA) and a modest calcium-phosphate metabolic flag (Node C2), but multicomponent detection (Node C1) sits at chance and falls below it as the mixedness definition tightens.</w:t>
      </w:r>
    </w:p>
    <w:p>
      <w:r>
        <w:drawing>
          <wp:inline xmlns:a="http://schemas.openxmlformats.org/drawingml/2006/main" xmlns:pic="http://schemas.openxmlformats.org/drawingml/2006/picture">
            <wp:extent cx="5486400" cy="40494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4_multicom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S4.</w:t>
      </w:r>
      <w:r>
        <w:t xml:space="preserve"> Exhaustive multicomponent detection — every feature family plus peak deconvolution against the single- vs. multi-component endpoint (thr 0.10; patient-clustered bootstrap 95% CI). All families cross or sit below chance; the lone combined "gain" (orange) is a uric-acid-purity confound (see Table S2).</w:t>
      </w:r>
    </w:p>
    <w:p>
      <w:r>
        <w:t>- Main-text figures cross-referenced: Fig 1 UA ROC; Fig 2 decision-curve; Fig 3 calibration; Fig 4 UA SHAP; Fig 5 density-gradient per-class AUC; Fig 6 CaOx-vs-CaP head ROC by feature set; Fig 7 CaP-screen operating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