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Predicting Uric‑Acid Kidney Stones from Routine Non‑Contrast CT and Emergency‑Department Labs</w:t>
      </w:r>
    </w:p>
    <w:p>
      <w:pPr>
        <w:pStyle w:val="Heading2"/>
      </w:pPr>
      <w:r>
        <w:t>Abstract</w:t>
      </w:r>
    </w:p>
    <w:p>
      <w:r>
        <w:t xml:space="preserve">Most patients with symptomatic nephrolithiasis present to the emergency department (ED) and undergo a </w:t>
      </w:r>
      <w:r>
        <w:rPr>
          <w:b/>
        </w:rPr>
        <w:t>non‑contrast stone‑protocol CT (NCCT)</w:t>
      </w:r>
      <w:r>
        <w:t xml:space="preserve">; nearly all also have a basic metabolic panel and urinalysis. Dual‑energy CT (DECT), which can characterize stone composition in vivo, is </w:t>
      </w:r>
      <w:r>
        <w:rPr>
          <w:b/>
        </w:rPr>
        <w:t>not routinely available</w:t>
      </w:r>
      <w:r>
        <w:t xml:space="preserve"> in ED practice. We asked whether the data already collected on these patients — stone attenuation on NCCT plus routine labs — can identify </w:t>
      </w:r>
      <w:r>
        <w:rPr>
          <w:b/>
        </w:rPr>
        <w:t>uric‑acid (UA) stones</w:t>
      </w:r>
      <w:r>
        <w:t xml:space="preserve">, the one composition whose management differs fundamentally (medical dissolution by urinary alkalinization vs. intervention). Using 319 surgically‑analyzed stones from 223 patients with paired NCCT and contemporaneous labs, a lean, interpretable model achieved an </w:t>
      </w:r>
      <w:r>
        <w:rPr>
          <w:b/>
        </w:rPr>
        <w:t>AUROC of 0.781 (95% CI 0.677–0.867)</w:t>
      </w:r>
      <w:r>
        <w:t xml:space="preserve"> for UA vs. non‑UA under repeated patient‑level cross‑validation with patient‑clustered bootstrap. At a high‑sensitivity operating point the model </w:t>
      </w:r>
      <w:r>
        <w:rPr>
          <w:b/>
        </w:rPr>
        <w:t>reliably rules out UA (NPV 0.97)</w:t>
      </w:r>
      <w:r>
        <w:t xml:space="preserve">, and decision‑curve analysis shows </w:t>
      </w:r>
      <w:r>
        <w:rPr>
          <w:b/>
        </w:rPr>
        <w:t>positive net clinical benefit across the full plausible threshold range (~10–50%)</w:t>
      </w:r>
      <w:r>
        <w:t xml:space="preserve">. Notably, more elaborate approaches — internal HU calibration, a 3D CNN, HU‑distribution‑shape radiomics, and a larger multi‑stone cohort — were each tested and </w:t>
      </w:r>
      <w:r>
        <w:rPr>
          <w:b/>
        </w:rPr>
        <w:t>did not improve</w:t>
      </w:r>
      <w:r>
        <w:t xml:space="preserve"> on this lean model. The composition signal in single‑energy CT is carried by </w:t>
      </w:r>
      <w:r>
        <w:rPr>
          <w:b/>
        </w:rPr>
        <w:t>attenuation and urine chemistry</w:t>
      </w:r>
      <w:r>
        <w:t xml:space="preserve">, and a tool built on </w:t>
      </w:r>
      <w:r>
        <w:rPr>
          <w:b/>
        </w:rPr>
        <w:t>data the ED already has</w:t>
      </w:r>
      <w:r>
        <w:t xml:space="preserve"> is the deployable contribution. In an extension to a full five‑class composition distribution, a stone </w:t>
      </w:r>
      <w:r>
        <w:rPr>
          <w:b/>
        </w:rPr>
        <w:t>density‑gradient</w:t>
      </w:r>
      <w:r>
        <w:t xml:space="preserve"> feature (core‑to‑periphery HU ratio) was likewise tested and </w:t>
      </w:r>
      <w:r>
        <w:rPr>
          <w:b/>
        </w:rPr>
        <w:t>rejected</w:t>
      </w:r>
      <w:r>
        <w:t xml:space="preserve"> — measurable on 90% of stones and stable across reconstruction kernels, but not separating the calcium subtypes — whereas a </w:t>
      </w:r>
      <w:r>
        <w:rPr>
          <w:b/>
        </w:rPr>
        <w:t>dedicated calcium‑oxalate‑vs‑phosphate head</w:t>
      </w:r>
      <w:r>
        <w:t xml:space="preserve"> built on the same routine labs reached </w:t>
      </w:r>
      <w:r>
        <w:rPr>
          <w:b/>
        </w:rPr>
        <w:t>AUROC 0.710 (95% CI 0.637–0.778)</w:t>
      </w:r>
      <w:r>
        <w:t xml:space="preserve"> and is deployed as a calibrated refinement of the calcium probabilities with a high‑sensitivity calcium‑phosphate work‑up screen.</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every elaboration tested (Appendix A): calibration, deep learning, radiomic shape, larger cohort, stone density gradient, derived acid–base labs, eGFR, and opportunistic bone‑density. Where a finer distinction is possible at all — calcium oxalate vs. phosphate — it comes from </w:t>
      </w:r>
      <w:r>
        <w:rPr>
          <w:b/>
        </w:rPr>
        <w:t>routine acid–base chemistry rather than from imaging</w:t>
      </w:r>
      <w:r>
        <w:t>, and is delivered as a calibrated refinement and high‑sensitivity work‑up screen; the one genuinely orthogonal imaging finding (nephrocalcinosis → calcium phosphate) is mechanistically real but, at this sample size, supportable only as a radiologic flag, not a learned feature. The result is a credible, honest basis for prospective evaluation as real‑world decision support in stone disease.</w:t>
      </w:r>
    </w:p>
    <w:p>
      <w:pPr>
        <w:pStyle w:val="Heading2"/>
      </w:pPr>
      <w:r>
        <w:t>Appendix A. Feature‑search ledger (what else was tested, and rejected)</w:t>
      </w:r>
    </w:p>
    <w:p>
      <w:r>
        <w:t xml:space="preserve">Beyond the four pre‑specified elaborations (§2.5) and the density gradient (§2.6/§3.6), we continued searching for any additional signal extractable from the </w:t>
      </w:r>
      <w:r>
        <w:rPr>
          <w:b/>
        </w:rPr>
        <w:t>routine labs</w:t>
      </w:r>
      <w:r>
        <w:t xml:space="preserve"> or from the </w:t>
      </w:r>
      <w:r>
        <w:rPr>
          <w:b/>
        </w:rPr>
        <w:t>non‑contrast CT beyond the stone itself</w:t>
      </w:r>
      <w:r>
        <w:t>. Everything below was evaluated under the same patient‑grouped repeated cross‑validation with patient‑clustered bootstrap CIs, on the CaOx‑vs‑CaP head (the weak spot) and the five‑class model. All were rejected; the pattern is informative.</w:t>
      </w:r>
    </w:p>
    <w:p>
      <w:r>
        <w:rPr>
          <w:b/>
        </w:rPr>
        <w:t>A.1 Derived acid–base / renal labs (no new measurements).</w:t>
      </w:r>
      <w:r>
        <w:t xml:space="preserve"> An explicit normal‑anion‑gap (hyperchloremic) metabolic‑acidosis composite — the distal‑RTA / GI‑bicarbonate‑loss signature — plus a hyperchloremia index and CKD‑EPI eGFR. None improved discrimination: on the CaOx‑vs‑CaP head, HU+labs 0.710 → +acid‑base 0.709 (Δ −0.000, 95% CI −0.009 to +0.008) and +eGFR 0.700 (Δ −0.009). SHAP attended to eGFR (rank 7/19) yet out‑of‑fold AUC was flat — a clean demonstration that </w:t>
      </w:r>
      <w:r>
        <w:rPr>
          <w:b/>
        </w:rPr>
        <w:t>the acid–base axis is already saturated by the raw bicarbonate/chloride/anion‑gap values</w:t>
      </w:r>
      <w:r>
        <w:t xml:space="preserve"> and eGFR is redundant with creatinine/age/sex. SHAP attention is not predictive value, which is why adjudication is on grouped‑CV AUC, not feature importance.</w:t>
      </w:r>
    </w:p>
    <w:p>
      <w:r>
        <w:rPr>
          <w:b/>
        </w:rPr>
        <w:t>A.2 Imaging beyond the stone.</w:t>
      </w:r>
      <w:r>
        <w:t xml:space="preserve"> From the same TotalSegmentator pass we extracted two patient‑level features: </w:t>
      </w:r>
      <w:r>
        <w:rPr>
          <w:b/>
        </w:rPr>
        <w:t>nephrocalcinosis</w:t>
      </w:r>
      <w:r>
        <w:t xml:space="preserve"> (parenchymal calcific foci within the eroded renal cortex — collecting‑system stone and bone/vessel calcification removed, with a per‑focus size cap to exclude staghorn bleed‑through) and </w:t>
      </w:r>
      <w:r>
        <w:rPr>
          <w:b/>
        </w:rPr>
        <w:t>opportunistic vertebral BMD</w:t>
      </w:r>
      <w:r>
        <w:t xml:space="preserve"> (trabecular‑core L1–L3 median HU).</w:t>
      </w:r>
    </w:p>
    <w:p>
      <w:r>
        <w:t xml:space="preserve">- The </w:t>
      </w:r>
      <w:r>
        <w:rPr>
          <w:b/>
        </w:rPr>
        <w:t>biology was the cleanest of the entire search</w:t>
      </w:r>
      <w:r>
        <w:t>: mean nephrocalcinosis fraction 0.0074 in calcium‑phosphate vs 0.0000 in calcium‑oxalate stones (≈10×), with prevalence rising monotonically CaOx 21% → CaP 33% → struvite 48% — exactly the distal‑RTA / hyperparathyroidism / infection pathways.</w:t>
      </w:r>
    </w:p>
    <w:p>
      <w:r>
        <w:t xml:space="preserve">- On the full cohort, +nephrocalcinosis+BMD produced the only nominally significant gain of the whole search (CaOx‑vs‑CaP +0.038, 95% CI +0.006 to +0.074). </w:t>
      </w:r>
      <w:r>
        <w:rPr>
          <w:b/>
        </w:rPr>
        <w:t>It did not survive verification.</w:t>
      </w:r>
      <w:r>
        <w:t xml:space="preserve"> Complete‑case analysis (restricting to patients with BMD actually measured, removing the 35% missing) collapsed the interval across zero (+0.024, 95% CI −0.021 to +0.069); dropping the 15 heavy‑nephrocalcinosis outliers reduced the nephrocalcinosis effect from +0.013 to +0.004. The apparent gain was carried by a handful of high‑burden cases plus a BMD contribution that vanished complete‑case (BMD's by‑composition means were essentially flat — 187 vs 194 HU — i.e. it re‑encodes age).</w:t>
      </w:r>
    </w:p>
    <w:p>
      <w:r>
        <w:t xml:space="preserve">- </w:t>
      </w:r>
      <w:r>
        <w:rPr>
          <w:b/>
        </w:rPr>
        <w:t>BMD was missing for 35%</w:t>
      </w:r>
      <w:r>
        <w:t xml:space="preserve"> of patients: stone‑protocol CT is centered on the urinary tract, so the lumbar vertebral bodies are frequently clipped (total z‑coverage was similar for BMD‑present and BMD‑missing scans — the difference is FOV centering and series type, not scan length). Importantly, missingness was </w:t>
      </w:r>
      <w:r>
        <w:rPr>
          <w:b/>
        </w:rPr>
        <w:t>not</w:t>
      </w:r>
      <w:r>
        <w:t xml:space="preserve"> associated with composition (CaP rate 0.57 present vs 0.58 missing), so BMD neither leaked through its missingness nor helped.</w:t>
      </w:r>
    </w:p>
    <w:p>
      <w:r>
        <w:rPr>
          <w:b/>
        </w:rPr>
        <w:t>A.3 Body composition (hepatic steatosis, sarcopenia).</w:t>
      </w:r>
      <w:r>
        <w:t xml:space="preserve"> A microbiome‑motivated hypothesis was tested: gut dysbiosis simultaneously raises enteric oxalate absorption (loss of *Oxalobacter*‑mediated degradation → calcium‑oxalate) and drives hepatic fat (NAFLD), so </w:t>
      </w:r>
      <w:r>
        <w:rPr>
          <w:b/>
        </w:rPr>
        <w:t>fatty liver should be more prevalent in calcium‑oxalate than calcium‑phosphate</w:t>
      </w:r>
      <w:r>
        <w:t xml:space="preserve"> — a pathway orthogonal to urine pH. We measured hepatic steatosis (liver−spleen median HU) and muscle quality (paraspinal+psoas mean HU, a height‑free myosteatosis marker), with </w:t>
      </w:r>
      <w:r>
        <w:rPr>
          <w:b/>
        </w:rPr>
        <w:t>99% coverage</w:t>
      </w:r>
      <w:r>
        <w:t xml:space="preserve"> (liver/spleen and muscle are reliably in the urinary‑tract FOV, unlike the lumbar spine). The hypothesis was </w:t>
      </w:r>
      <w:r>
        <w:rPr>
          <w:b/>
        </w:rPr>
        <w:t>not supported, with full power</w:t>
      </w:r>
      <w:r>
        <w:t xml:space="preserve">: calcium‑oxalate vs calcium‑phosphate steatosis rates were 13% vs 17% (liver−spleen +2.4 vs +1.4 HU — calcium‑phosphate marginally *fattier*, opposite the prediction; Mann–Whitney p=0.71). The fatty‑liver signal instead tracked </w:t>
      </w:r>
      <w:r>
        <w:rPr>
          <w:b/>
        </w:rPr>
        <w:t>uric‑acid</w:t>
      </w:r>
      <w:r>
        <w:t xml:space="preserve"> stones (steatosis 25%, liver−spleen −2.3) — the metabolic‑syndrome/insulin‑resistance phenotype already captured by urine pH and glucose. Added to the models the features </w:t>
      </w:r>
      <w:r>
        <w:rPr>
          <w:b/>
        </w:rPr>
        <w:t>degraded</w:t>
      </w:r>
      <w:r>
        <w:t xml:space="preserve"> performance: the CaOx‑vs‑CaP head fell from 0.710 to 0.687 with muscle (Δ −0.023, 95% CI −0.049 to +0.001) and the five‑class macro‑F1 from 0.317 to 0.294. Notably muscle *volume* drew high SHAP attention (rank 5/20) while actively *hurting* out‑of‑fold AUC — body‑size confounding the model latches onto in‑sample but that does not generalize, the clearest illustration in the ledger that </w:t>
      </w:r>
      <w:r>
        <w:rPr>
          <w:b/>
        </w:rPr>
        <w:t>feature importance is not predictive value</w:t>
      </w:r>
      <w:r>
        <w:t>. (A mechanistically sensible sidelight — struvite had the lowest muscle HU, the frail/recurrent‑infection phenotype — was not actionable at n=27.)</w:t>
      </w:r>
    </w:p>
    <w:p>
      <w:r>
        <w:rPr>
          <w:b/>
        </w:rPr>
        <w:t>A.4 Vascular and chronic‑infection markers.</w:t>
      </w:r>
      <w:r>
        <w:t xml:space="preserve"> Aortic wall calcification was tested as a readout of calcium‑phosphate / mineral metabolism (CKD‑MBD, high Ca×PO₄) — a phosphate axis the labs do not measure (no serum phosphate/PTH), hypothesized higher in calcium‑phosphate than calcium‑oxalate. An initial 130‑HU shell over‑detected (≈90% prevalence in an age‑47 cohort = partial volume), so the feature was re‑extracted Agatston‑style (focus peak ≥200 HU, 4–200 mm³ size window, density‑weighted score, broadened bone exclusion), dropping prevalence to a plausible 78% and cleanly separating genuinely calcified patients from noise. The clean feature was </w:t>
      </w:r>
      <w:r>
        <w:rPr>
          <w:b/>
        </w:rPr>
        <w:t>null and, if anything, reversed</w:t>
      </w:r>
      <w:r>
        <w:t xml:space="preserve">: calcium‑oxalate had marginally *more* aortic calcium than calcium‑phosphate (median Agatston 330 vs 249, p=0.31), the </w:t>
      </w:r>
      <w:r>
        <w:rPr>
          <w:b/>
        </w:rPr>
        <w:t>age‑adjusted coefficient was −0.10 (95% CI −0.41 to +0.21)</w:t>
      </w:r>
      <w:r>
        <w:t xml:space="preserve">, and the CaOx‑vs‑CaP head was unmoved (Δ +0.001). Vascular calcification indexes the hypercalciuria/calcium‑overload phenotype (calcium‑oxalate) as much as the phosphate axis, netting to nothing. Bladder wall fraction / volume and prostate calcification (exploratory struvite markers) produced an apparent but </w:t>
      </w:r>
      <w:r>
        <w:rPr>
          <w:b/>
        </w:rPr>
        <w:t>spurious</w:t>
      </w:r>
      <w:r>
        <w:t xml:space="preserve"> gain: prostate calcification ranked #1 of 22 by SHAP yet is simply a </w:t>
      </w:r>
      <w:r>
        <w:rPr>
          <w:b/>
        </w:rPr>
        <w:t>sex indicator</w:t>
      </w:r>
      <w:r>
        <w:t xml:space="preserve"> (present in 79% of males, 1% of females), drove the entire effect, was non‑significant (95% CI crossing zero), redundant with the sex already modeled, and *lowered* five‑class struvite AUC (0.686→0.626) — the project's sharpest example that feature importance is not predictive value.</w:t>
      </w:r>
    </w:p>
    <w:p>
      <w:r>
        <w:rPr>
          <w:b/>
        </w:rPr>
        <w:t>A.5 Disposition.</w:t>
      </w:r>
      <w:r>
        <w:t xml:space="preserve"> Nephrocalcinosis is retained as a </w:t>
      </w:r>
      <w:r>
        <w:rPr>
          <w:b/>
        </w:rPr>
        <w:t>deterministic radiologic flag</w:t>
      </w:r>
      <w:r>
        <w:t xml:space="preserve"> (substantial parenchymal calcification → favor calcium phosphate; evaluate for distal RTA / hyperparathyroidism / medullary sponge kidney), surfaced in the report when foci are auto‑detected — not as a model input it is too sparse to support. BMD, body composition, vascular calcification, and the derived labs are not used. Across the full ledger — calibration, deep learning, HU‑shape radiomics, larger cohort, density gradient, derived acid–base, eGFR, BMD, hepatic steatosis, sarcopenia, aortic calcification, and bladder/prostate markers — single‑energy composition prediction proved </w:t>
      </w:r>
      <w:r>
        <w:rPr>
          <w:b/>
        </w:rPr>
        <w:t>saturated by stone attenuation and urine/acid–base chemistry</w:t>
      </w:r>
      <w:r>
        <w:t xml:space="preserve">, and the one orthogonal imaging signal (nephrocalcinosis → calcium phosphate) is mechanistically real yet, at n=144 calcium‑phosphate stones, confirmable only as a flag. The most likely path to the remaining gap (struvite, calcium‑subtype) is </w:t>
      </w:r>
      <w:r>
        <w:rPr>
          <w:b/>
        </w:rPr>
        <w:t>additional data — urinalysis infection markers and larger N — not further mining of the single‑energy 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