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Predicting Uric‑Acid Kidney Stones from Routine Non‑Contrast CT and Emergency‑Department Labs</w:t>
      </w:r>
    </w:p>
    <w:p>
      <w:pPr>
        <w:pStyle w:val="Heading2"/>
      </w:pPr>
      <w:r>
        <w:t>Abstract</w:t>
      </w:r>
    </w:p>
    <w:p>
      <w:r>
        <w:t xml:space="preserve">Most patients with symptomatic nephrolithiasis present to the emergency department (ED) and undergo a </w:t>
      </w:r>
      <w:r>
        <w:rPr>
          <w:b/>
        </w:rPr>
        <w:t>non‑contrast stone‑protocol CT (NCCT)</w:t>
      </w:r>
      <w:r>
        <w:t xml:space="preserve">; nearly all also have a basic metabolic panel and urinalysis. Dual‑energy CT (DECT), which can characterize stone composition in vivo, is </w:t>
      </w:r>
      <w:r>
        <w:rPr>
          <w:b/>
        </w:rPr>
        <w:t>not routinely available</w:t>
      </w:r>
      <w:r>
        <w:t xml:space="preserve"> in ED practice. We asked whether the data already collected on these patients — stone attenuation on NCCT plus routine labs — can identify </w:t>
      </w:r>
      <w:r>
        <w:rPr>
          <w:b/>
        </w:rPr>
        <w:t>uric‑acid (UA) stones</w:t>
      </w:r>
      <w:r>
        <w:t xml:space="preserve">, the one composition whose management differs fundamentally (medical dissolution by urinary alkalinization vs. intervention). Using 319 surgically‑analyzed stones from 223 patients with paired NCCT and contemporaneous labs, a lean, interpretable model achieved an </w:t>
      </w:r>
      <w:r>
        <w:rPr>
          <w:b/>
        </w:rPr>
        <w:t>AUROC of 0.781 (95% CI 0.677–0.867)</w:t>
      </w:r>
      <w:r>
        <w:t xml:space="preserve"> for UA vs. non‑UA under repeated patient‑level cross‑validation with patient‑clustered bootstrap. At a high‑sensitivity operating point the model </w:t>
      </w:r>
      <w:r>
        <w:rPr>
          <w:b/>
        </w:rPr>
        <w:t>reliably rules out UA (NPV 0.97)</w:t>
      </w:r>
      <w:r>
        <w:t xml:space="preserve">, and decision‑curve analysis shows </w:t>
      </w:r>
      <w:r>
        <w:rPr>
          <w:b/>
        </w:rPr>
        <w:t>positive net clinical benefit across the full plausible threshold range (~10–50%)</w:t>
      </w:r>
      <w:r>
        <w:t xml:space="preserve">. Notably, more elaborate approaches — internal HU calibration, a 3D CNN, HU‑distribution‑shape radiomics, and a larger multi‑stone cohort — were each tested and </w:t>
      </w:r>
      <w:r>
        <w:rPr>
          <w:b/>
        </w:rPr>
        <w:t>did not improve</w:t>
      </w:r>
      <w:r>
        <w:t xml:space="preserve"> on this lean model. The composition signal in single‑energy CT is carried by </w:t>
      </w:r>
      <w:r>
        <w:rPr>
          <w:b/>
        </w:rPr>
        <w:t>attenuation and urine chemistry</w:t>
      </w:r>
      <w:r>
        <w:t xml:space="preserve">, and a tool built on </w:t>
      </w:r>
      <w:r>
        <w:rPr>
          <w:b/>
        </w:rPr>
        <w:t>data the ED already has</w:t>
      </w:r>
      <w:r>
        <w:t xml:space="preserve"> is the deployable contribution. In an extension to a full five‑class composition distribution, a stone </w:t>
      </w:r>
      <w:r>
        <w:rPr>
          <w:b/>
        </w:rPr>
        <w:t>density‑gradient</w:t>
      </w:r>
      <w:r>
        <w:t xml:space="preserve"> feature (core‑to‑periphery HU ratio) was likewise tested and </w:t>
      </w:r>
      <w:r>
        <w:rPr>
          <w:b/>
        </w:rPr>
        <w:t>rejected</w:t>
      </w:r>
      <w:r>
        <w:t xml:space="preserve"> — measurable on 90% of stones and stable across reconstruction kernels, but not separating the calcium subtypes — whereas a </w:t>
      </w:r>
      <w:r>
        <w:rPr>
          <w:b/>
        </w:rPr>
        <w:t>dedicated calcium‑oxalate‑vs‑phosphate head</w:t>
      </w:r>
      <w:r>
        <w:t xml:space="preserve"> built on the same routine labs reached </w:t>
      </w:r>
      <w:r>
        <w:rPr>
          <w:b/>
        </w:rPr>
        <w:t>AUROC 0.710 (95% CI 0.637–0.778)</w:t>
      </w:r>
      <w:r>
        <w:t xml:space="preserve"> and is deployed as a calibrated refinement of the calcium probabilities with a high‑sensitivity calcium‑phosphate work‑up screen. Across thirteen feature families spanning CT‑derived and routine‑laboratory signals (Appendix A), none improved on this routine‑data baseline — delineating the </w:t>
      </w:r>
      <w:r>
        <w:rPr>
          <w:b/>
        </w:rPr>
        <w:t>achievable ceiling of a standard acute‑ED‑visit dataset</w:t>
      </w:r>
      <w:r>
        <w:t xml:space="preserve"> and localizing the residual calcium‑oxalate‑vs‑phosphate gap to stone‑specific urinary analytes not measured at presentation.</w:t>
      </w:r>
    </w:p>
    <w:p>
      <w:pPr>
        <w:pStyle w:val="Heading2"/>
      </w:pPr>
      <w:r>
        <w:t>1. Background and aim</w:t>
      </w:r>
    </w:p>
    <w:p>
      <w:r>
        <w:t xml:space="preserve">Stone composition guides management. </w:t>
      </w:r>
      <w:r>
        <w:rPr>
          <w:b/>
        </w:rPr>
        <w:t>Uric‑acid stones dissolve</w:t>
      </w:r>
      <w:r>
        <w:t xml:space="preserve"> with urinary alkalinization and are often managed medically, whereas calcium and struvite stones are not. Identifying UA non‑invasively, at presentation, could spare intervention and direct metabolic therapy. DECT addresses this but is concentrated in tertiary centers and is essentially </w:t>
      </w:r>
      <w:r>
        <w:rPr>
          <w:b/>
        </w:rPr>
        <w:t>unavailable for routine ED use</w:t>
      </w:r>
      <w:r>
        <w:t xml:space="preserve">, where the imaging is single‑energy NCCT. Our explicit aim is a </w:t>
      </w:r>
      <w:r>
        <w:rPr>
          <w:b/>
        </w:rPr>
        <w:t>real‑world decision‑support method using only routinely available data</w:t>
      </w:r>
      <w:r>
        <w:t xml:space="preserve"> — NCCT stone attenuation and routine ED labs — not a method that presumes specialized acquisition.</w:t>
      </w:r>
    </w:p>
    <w:p>
      <w:r>
        <w:rPr>
          <w:b/>
        </w:rPr>
        <w:t>Scope and design principle.</w:t>
      </w:r>
      <w:r>
        <w:t xml:space="preserve"> We deliberately restrict the predictor's inputs to what a </w:t>
      </w:r>
      <w:r>
        <w:rPr>
          <w:b/>
        </w:rPr>
        <w:t>standard acute ED stone evaluation already generates</w:t>
      </w:r>
      <w:r>
        <w:t xml:space="preserve">: a single‑energy NCCT (stone attenuation, size, location; and any feature derivable from that volume) and the routine laboratory panel drawn at that encounter — complete blood count, basic metabolic panel, and urinalysis (from which pH is used) — with age and sex. No specialized acquisition (DECT), no send‑out or 24‑hour metabolic panel, and no data unavailable at the index visit are used. This boundary is intentional and is central to the contribution: when an added feature fails to improve prediction within it, the result defines the </w:t>
      </w:r>
      <w:r>
        <w:rPr>
          <w:b/>
        </w:rPr>
        <w:t>ceiling of routinely available data</w:t>
      </w:r>
      <w:r>
        <w:t>, not an artifact of an incomplete work‑up. The systematic feature search of Appendix A — and its uniformly negative result across thirteen families — should be read in that light: a map of what single‑energy CT and standard ED chemistry can and cannot resolve, published so that others need not re‑discover the same boundaries.</w:t>
      </w:r>
    </w:p>
    <w:p>
      <w:pPr>
        <w:pStyle w:val="Heading2"/>
      </w:pPr>
      <w:r>
        <w:t>2. Methods</w:t>
      </w:r>
    </w:p>
    <w:p>
      <w:pPr>
        <w:pStyle w:val="Heading3"/>
      </w:pPr>
      <w:r>
        <w:t>2.1 Cohort and data</w:t>
      </w:r>
    </w:p>
    <w:p>
      <w:r>
        <w:t xml:space="preserve">Patients with surgically retrieved, laboratory‑analyzed stones (FTIR/X‑ray diffraction component percentages) and a pre‑operative NCCT within 120 days were assembled from two sites, consolidated on a single medical‑record identifier. Composition was mapped to parent classes (calcium oxalate, calcium phosphate, uric acid, struvite, cystine), and the binary endpoint was </w:t>
      </w:r>
      <w:r>
        <w:rPr>
          <w:b/>
        </w:rPr>
        <w:t>UA‑dominant vs. non‑UA</w:t>
      </w:r>
      <w:r>
        <w:t>. Routine labs at the time of CT were extracted: basic metabolic panel, urine pH, and demographics.</w:t>
      </w:r>
    </w:p>
    <w:p>
      <w:pPr>
        <w:pStyle w:val="Heading3"/>
      </w:pPr>
      <w:r>
        <w:t>2.2 Imaging curation (non‑contrast only)</w:t>
      </w:r>
    </w:p>
    <w:p>
      <w:r>
        <w:t xml:space="preserve">From each study we selected a </w:t>
      </w:r>
      <w:r>
        <w:rPr>
          <w:b/>
        </w:rPr>
        <w:t>non‑contrast</w:t>
      </w:r>
      <w:r>
        <w:t xml:space="preserve"> CT series (contrast‑enhanced and rendered/reformatted‑only series excluded by DICOM contrast tags and acquisition type), preferring native axial reconstructions and falling back to non‑contrast reformats where that was the only volume archived. HU is orientation‑independent, so reformats are valid for attenuation measurement.</w:t>
      </w:r>
    </w:p>
    <w:p>
      <w:pPr>
        <w:pStyle w:val="Heading3"/>
      </w:pPr>
      <w:r>
        <w:t>2.3 Stone segmentation and features</w:t>
      </w:r>
    </w:p>
    <w:p>
      <w:r>
        <w:t>Stones were auto‑segmented as high‑attenuation components within the kidney/bladder region (TotalSegmentator organ masks), excluding skeleton and great‑vessel calcification, with a size filter. Per stone we measured native‑voxel HU statistics (</w:t>
      </w:r>
      <w:r>
        <w:rPr>
          <w:b/>
        </w:rPr>
        <w:t>peak, mean, percentiles</w:t>
      </w:r>
      <w:r>
        <w:t xml:space="preserve">), volume, and — in extended analyses — HU‑distribution shape (skewness, kurtosis, number of histogram modes, normality) and morphology. The </w:t>
      </w:r>
      <w:r>
        <w:rPr>
          <w:b/>
        </w:rPr>
        <w:t>locked model uses a deliberately lean feature set</w:t>
      </w:r>
      <w:r>
        <w:t>, all routinely available in the ED:</w:t>
      </w:r>
    </w:p>
    <w:p>
      <w:pPr>
        <w:pStyle w:val="IntenseQuote"/>
      </w:pPr>
      <w:r>
        <w:t xml:space="preserve">stone </w:t>
      </w:r>
      <w:r>
        <w:rPr>
          <w:b/>
        </w:rPr>
        <w:t>peak and mean HU</w:t>
      </w:r>
      <w:r>
        <w:t xml:space="preserve">; </w:t>
      </w:r>
      <w:r>
        <w:rPr>
          <w:b/>
        </w:rPr>
        <w:t>urine pH</w:t>
      </w:r>
      <w:r>
        <w:t xml:space="preserve">; </w:t>
      </w:r>
      <w:r>
        <w:rPr>
          <w:b/>
        </w:rPr>
        <w:t>serum CO₂ (bicarbonate), chloride, anion gap</w:t>
      </w:r>
      <w:r>
        <w:t xml:space="preserve"> (acid–base axis); BUN, creatinine, calcium, glucose; </w:t>
      </w:r>
      <w:r>
        <w:rPr>
          <w:b/>
        </w:rPr>
        <w:t>age, sex</w:t>
      </w:r>
      <w:r>
        <w:t>.</w:t>
      </w:r>
    </w:p>
    <w:p>
      <w:r>
        <w:t>Monotonic constraints encode known chemistry (higher HU → less likely UA; higher urine pH → less likely UA).</w:t>
      </w:r>
    </w:p>
    <w:p>
      <w:pPr>
        <w:pStyle w:val="Heading3"/>
      </w:pPr>
      <w:r>
        <w:t>2.4 Locked model and validation</w:t>
      </w:r>
    </w:p>
    <w:p>
      <w:r>
        <w:t xml:space="preserve">The classifier is a regularized gradient‑boosted tree (handles missing labs natively — important for real‑world data). Validation is </w:t>
      </w:r>
      <w:r>
        <w:rPr>
          <w:b/>
        </w:rPr>
        <w:t>repeated (25×) stratified, patient‑level grouped 5‑fold cross‑validation</w:t>
      </w:r>
      <w:r>
        <w:t xml:space="preserve"> with averaged out‑of‑fold probabilities; </w:t>
      </w:r>
      <w:r>
        <w:rPr>
          <w:b/>
        </w:rPr>
        <w:t>uncertainty is a patient‑clustered bootstrap (1000×) 95% CI</w:t>
      </w:r>
      <w:r>
        <w:t xml:space="preserve">. We report discrimination (AUROC), a high‑sensitivity operating point (sensitivity/specificity/PPV/NPV), </w:t>
      </w:r>
      <w:r>
        <w:rPr>
          <w:b/>
        </w:rPr>
        <w:t>calibration (Brier score)</w:t>
      </w:r>
      <w:r>
        <w:t xml:space="preserve">, and </w:t>
      </w:r>
      <w:r>
        <w:rPr>
          <w:b/>
        </w:rPr>
        <w:t>decision‑curve analysis</w:t>
      </w:r>
      <w:r>
        <w:t xml:space="preserve"> (net benefit vs. treat‑all/treat‑none) as the clinical‑utility readout.</w:t>
      </w:r>
    </w:p>
    <w:p>
      <w:pPr>
        <w:pStyle w:val="Heading3"/>
      </w:pPr>
      <w:r>
        <w:t>2.5 Pre‑specified alternatives (tested, not assumed)</w:t>
      </w:r>
    </w:p>
    <w:p>
      <w:r>
        <w:t xml:space="preserve">To avoid over‑engineering, four elaborations were pre‑specified and tested against the lean model: (i) an </w:t>
      </w:r>
      <w:r>
        <w:rPr>
          <w:b/>
        </w:rPr>
        <w:t>Hb‑anchored internal HU calibration</w:t>
      </w:r>
      <w:r>
        <w:t xml:space="preserve"> (air + aortic‑blood anchors); (ii) a </w:t>
      </w:r>
      <w:r>
        <w:rPr>
          <w:b/>
        </w:rPr>
        <w:t>self‑supervised 3D CNN</w:t>
      </w:r>
      <w:r>
        <w:t xml:space="preserve"> (frozen‑encoder deep features); (iii) </w:t>
      </w:r>
      <w:r>
        <w:rPr>
          <w:b/>
        </w:rPr>
        <w:t>HU‑distribution‑shape radiomics</w:t>
      </w:r>
      <w:r>
        <w:t xml:space="preserve">; and (iv) a </w:t>
      </w:r>
      <w:r>
        <w:rPr>
          <w:b/>
        </w:rPr>
        <w:t>larger multi‑stone cohort</w:t>
      </w:r>
      <w:r>
        <w:t xml:space="preserve"> via volume↔mass matching. A fifth elaboration — a </w:t>
      </w:r>
      <w:r>
        <w:rPr>
          <w:b/>
        </w:rPr>
        <w:t>stone density gradient</w:t>
      </w:r>
      <w:r>
        <w:t xml:space="preserve"> (core‑to‑periphery HU ratio) — was tested in the composition‑distribution extension (§2.6).</w:t>
      </w:r>
    </w:p>
    <w:p>
      <w:pPr>
        <w:pStyle w:val="Heading3"/>
      </w:pPr>
      <w:r>
        <w:t>2.6 Extension: full composition distribution and calcium‑subtype separation</w:t>
      </w:r>
    </w:p>
    <w:p>
      <w:r>
        <w:t xml:space="preserve">Beyond the binary UA endpoint we built a </w:t>
      </w:r>
      <w:r>
        <w:rPr>
          <w:b/>
        </w:rPr>
        <w:t>five‑class composition model</w:t>
      </w:r>
      <w:r>
        <w:t xml:space="preserve"> (calcium oxalate, calcium phosphate, uric acid, struvite, other) that returns a calibrated probability distribution for point‑of‑care use, trained on the same routine inputs under the same patient‑grouped protocol (20× repeated stratified grouped 5‑fold). Two further questions were addressed.</w:t>
      </w:r>
    </w:p>
    <w:p>
      <w:r>
        <w:rPr>
          <w:b/>
        </w:rPr>
        <w:t>Density gradient.</w:t>
      </w:r>
      <w:r>
        <w:t xml:space="preserve"> Motivated by the observation that calcium‑oxalate stones often retain a dense core whereas calcium‑phosphate may taper, we computed the </w:t>
      </w:r>
      <w:r>
        <w:rPr>
          <w:b/>
        </w:rPr>
        <w:t>core‑to‑periphery HU ratio</w:t>
      </w:r>
      <w:r>
        <w:t xml:space="preserve"> with shells defined by </w:t>
      </w:r>
      <w:r>
        <w:rPr>
          <w:b/>
        </w:rPr>
        <w:t>physical depth</w:t>
      </w:r>
      <w:r>
        <w:t xml:space="preserve"> from the stone surface — a spacing‑aware Euclidean distance transform, split at the 33rd/67th depth percentiles, summarized by </w:t>
      </w:r>
      <w:r>
        <w:rPr>
          <w:b/>
        </w:rPr>
        <w:t>median</w:t>
      </w:r>
      <w:r>
        <w:t xml:space="preserve"> HU (robust to the partial‑volume rim). The feature is </w:t>
      </w:r>
      <w:r>
        <w:rPr>
          <w:b/>
        </w:rPr>
        <w:t>gated</w:t>
      </w:r>
      <w:r>
        <w:t xml:space="preserve"> to stones large enough to define concentric shells (≥150 voxels total, ≥15 per shell); smaller/thicker‑slice stones return missing rather than a slice‑thickness artifact. The ratio was re‑extracted for the labeled cohort by re‑segmenting each study, and its stability was audited </w:t>
      </w:r>
      <w:r>
        <w:rPr>
          <w:b/>
        </w:rPr>
        <w:t>by reconstruction kernel</w:t>
      </w:r>
      <w:r>
        <w:t xml:space="preserve"> (soft vs. sharp) and by composition.</w:t>
      </w:r>
    </w:p>
    <w:p>
      <w:r>
        <w:rPr>
          <w:b/>
        </w:rPr>
        <w:t>Calcium‑oxalate‑vs‑phosphate head.</w:t>
      </w:r>
      <w:r>
        <w:t xml:space="preserve"> A </w:t>
      </w:r>
      <w:r>
        <w:rPr>
          <w:b/>
        </w:rPr>
        <w:t>dedicated binary head</w:t>
      </w:r>
      <w:r>
        <w:t xml:space="preserve"> (positive class = calcium phosphate) was compared across nested feature sets — HU only; HU + gradient; HU + routine labs; HU + labs + gradient — under </w:t>
      </w:r>
      <w:r>
        <w:rPr>
          <w:b/>
        </w:rPr>
        <w:t>40× repeated patient‑grouped 5‑fold CV</w:t>
      </w:r>
      <w:r>
        <w:t xml:space="preserve">, with patient‑clustered bootstrap CIs on AUC and on the </w:t>
      </w:r>
      <w:r>
        <w:rPr>
          <w:b/>
        </w:rPr>
        <w:t>paired</w:t>
      </w:r>
      <w:r>
        <w:t xml:space="preserve"> feature‑set deltas. The operating threshold was set from cross‑validated out‑of‑fold P(CaP) to a </w:t>
      </w:r>
      <w:r>
        <w:rPr>
          <w:b/>
        </w:rPr>
        <w:t>high‑sensitivity</w:t>
      </w:r>
      <w:r>
        <w:t xml:space="preserve"> point for use as a calcium‑phosphate work‑up screen. The head is wired as a </w:t>
      </w:r>
      <w:r>
        <w:rPr>
          <w:b/>
        </w:rPr>
        <w:t>cascade</w:t>
      </w:r>
      <w:r>
        <w:t>: it re‑partitions the combined calcium‑oxalate + calcium‑phosphate probability mass in the five‑class distribution by its P(CaP|calcium), leaving the non‑calcium classes and the total unchanged.</w:t>
      </w:r>
    </w:p>
    <w:p>
      <w:pPr>
        <w:pStyle w:val="Heading2"/>
      </w:pPr>
      <w:r>
        <w:t>3. Results</w:t>
      </w:r>
    </w:p>
    <w:p>
      <w:pPr>
        <w:pStyle w:val="Heading3"/>
      </w:pPr>
      <w:r>
        <w:t>3.1 Cohort</w:t>
      </w:r>
    </w:p>
    <w:p>
      <w:r>
        <w:t xml:space="preserve">319 clean‑label stones from 223 patients; </w:t>
      </w:r>
      <w:r>
        <w:rPr>
          <w:b/>
        </w:rPr>
        <w:t>UA prevalence 11%</w:t>
      </w:r>
      <w:r>
        <w:t>. Composition was dominated by calcium phosphate and calcium oxalate, with uric acid and struvite minorities and cystine rare.</w:t>
      </w:r>
    </w:p>
    <w:p>
      <w:pPr>
        <w:pStyle w:val="Heading3"/>
      </w:pPr>
      <w:r>
        <w:t>3.2 Discrimination and operating characteristics</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1_roc.png"/>
                    <pic:cNvPicPr/>
                  </pic:nvPicPr>
                  <pic:blipFill>
                    <a:blip r:embed="rId9"/>
                    <a:stretch>
                      <a:fillRect/>
                    </a:stretch>
                  </pic:blipFill>
                  <pic:spPr>
                    <a:xfrm>
                      <a:off x="0" y="0"/>
                      <a:ext cx="5486400" cy="5486400"/>
                    </a:xfrm>
                    <a:prstGeom prst="rect"/>
                  </pic:spPr>
                </pic:pic>
              </a:graphicData>
            </a:graphic>
          </wp:inline>
        </w:drawing>
      </w:r>
    </w:p>
    <w:p>
      <w:r>
        <w:rPr>
          <w:b/>
        </w:rPr>
        <w:t>Figure 1. UA‑stone detection (NCCT + ED labs).</w:t>
      </w:r>
      <w:r>
        <w:t xml:space="preserve"> AUROC </w:t>
      </w:r>
      <w:r>
        <w:rPr>
          <w:b/>
        </w:rPr>
        <w:t>0.781 (95% CI 0.677–0.867)</w:t>
      </w:r>
      <w:r>
        <w:t xml:space="preserve">. At a high‑sensitivity threshold: </w:t>
      </w:r>
      <w:r>
        <w:rPr>
          <w:b/>
        </w:rPr>
        <w:t>sensitivity 0.92 (0.81–1.00)</w:t>
      </w:r>
      <w:r>
        <w:t xml:space="preserve">, specificity 0.33 (0.25–0.39), PPV 0.15, </w:t>
      </w:r>
      <w:r>
        <w:rPr>
          <w:b/>
        </w:rPr>
        <w:t>NPV 0.97</w:t>
      </w:r>
      <w:r>
        <w:t xml:space="preserve"> — a low predicted probability reliably excludes UA. Because UA prevalence is low, the model is best used as a </w:t>
      </w:r>
      <w:r>
        <w:rPr>
          <w:b/>
        </w:rPr>
        <w:t>calibrated probability that updates clinical suspicion</w:t>
      </w:r>
      <w:r>
        <w:t>, not a hard classifier.</w:t>
      </w:r>
    </w:p>
    <w:p>
      <w:pPr>
        <w:pStyle w:val="Heading3"/>
      </w:pPr>
      <w:r>
        <w:t>3.3 Clinical utility</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ig2_dca.png"/>
                    <pic:cNvPicPr/>
                  </pic:nvPicPr>
                  <pic:blipFill>
                    <a:blip r:embed="rId10"/>
                    <a:stretch>
                      <a:fillRect/>
                    </a:stretch>
                  </pic:blipFill>
                  <pic:spPr>
                    <a:xfrm>
                      <a:off x="0" y="0"/>
                      <a:ext cx="5486400" cy="4114800"/>
                    </a:xfrm>
                    <a:prstGeom prst="rect"/>
                  </pic:spPr>
                </pic:pic>
              </a:graphicData>
            </a:graphic>
          </wp:inline>
        </w:drawing>
      </w:r>
    </w:p>
    <w:p>
      <w:r>
        <w:rPr>
          <w:b/>
        </w:rPr>
        <w:t>Figure 2. Decision‑curve analysis.</w:t>
      </w:r>
      <w:r>
        <w:t xml:space="preserve"> The model yields </w:t>
      </w:r>
      <w:r>
        <w:rPr>
          <w:b/>
        </w:rPr>
        <w:t>positive net benefit across the entire clinically plausible threshold range (~10–50%)</w:t>
      </w:r>
      <w:r>
        <w:t>, exceeding both "treat all as UA" (which loses benefit beyond ~12%) and "treat none." This is the key real‑world result: for any clinician whose action threshold for "consider UA" falls in this range, the model adds value over default strategies.</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Fig3_calibration.png"/>
                    <pic:cNvPicPr/>
                  </pic:nvPicPr>
                  <pic:blipFill>
                    <a:blip r:embed="rId11"/>
                    <a:stretch>
                      <a:fillRect/>
                    </a:stretch>
                  </pic:blipFill>
                  <pic:spPr>
                    <a:xfrm>
                      <a:off x="0" y="0"/>
                      <a:ext cx="5486400" cy="5486400"/>
                    </a:xfrm>
                    <a:prstGeom prst="rect"/>
                  </pic:spPr>
                </pic:pic>
              </a:graphicData>
            </a:graphic>
          </wp:inline>
        </w:drawing>
      </w:r>
    </w:p>
    <w:p>
      <w:r>
        <w:rPr>
          <w:b/>
        </w:rPr>
        <w:t>Figure 3. Calibration.</w:t>
      </w:r>
      <w:r>
        <w:t xml:space="preserve"> Predicted UA probabilities track observed frequencies (</w:t>
      </w:r>
      <w:r>
        <w:rPr>
          <w:b/>
        </w:rPr>
        <w:t>Brier 0.086</w:t>
      </w:r>
      <w:r>
        <w:t>), supporting use of the continuous score for shared decision‑making.</w:t>
      </w:r>
    </w:p>
    <w:p>
      <w:pPr>
        <w:pStyle w:val="Heading3"/>
      </w:pPr>
      <w:r>
        <w:t>3.4 What drives the prediction</w:t>
      </w:r>
    </w:p>
    <w:p>
      <w:r>
        <w:drawing>
          <wp:inline xmlns:a="http://schemas.openxmlformats.org/drawingml/2006/main" xmlns:pic="http://schemas.openxmlformats.org/drawingml/2006/picture">
            <wp:extent cx="5486400" cy="4572000"/>
            <wp:docPr id="4" name="Picture 4"/>
            <wp:cNvGraphicFramePr>
              <a:graphicFrameLocks noChangeAspect="1"/>
            </wp:cNvGraphicFramePr>
            <a:graphic>
              <a:graphicData uri="http://schemas.openxmlformats.org/drawingml/2006/picture">
                <pic:pic>
                  <pic:nvPicPr>
                    <pic:cNvPr id="0" name="Fig4_shap.png"/>
                    <pic:cNvPicPr/>
                  </pic:nvPicPr>
                  <pic:blipFill>
                    <a:blip r:embed="rId12"/>
                    <a:stretch>
                      <a:fillRect/>
                    </a:stretch>
                  </pic:blipFill>
                  <pic:spPr>
                    <a:xfrm>
                      <a:off x="0" y="0"/>
                      <a:ext cx="5486400" cy="4572000"/>
                    </a:xfrm>
                    <a:prstGeom prst="rect"/>
                  </pic:spPr>
                </pic:pic>
              </a:graphicData>
            </a:graphic>
          </wp:inline>
        </w:drawing>
      </w:r>
    </w:p>
    <w:p>
      <w:r>
        <w:rPr>
          <w:b/>
        </w:rPr>
        <w:t>Figure 4. Feature importance (SHAP).</w:t>
      </w:r>
      <w:r>
        <w:t xml:space="preserve"> The model leans on </w:t>
      </w:r>
      <w:r>
        <w:rPr>
          <w:b/>
        </w:rPr>
        <w:t>urine pH</w:t>
      </w:r>
      <w:r>
        <w:t xml:space="preserve"> and </w:t>
      </w:r>
      <w:r>
        <w:rPr>
          <w:b/>
        </w:rPr>
        <w:t>stone HU</w:t>
      </w:r>
      <w:r>
        <w:t xml:space="preserve">, with the </w:t>
      </w:r>
      <w:r>
        <w:rPr>
          <w:b/>
        </w:rPr>
        <w:t>acid–base axis (bicarbonate, chloride, anion gap)</w:t>
      </w:r>
      <w:r>
        <w:t xml:space="preserve"> prominent — consistent with stone chemistry (UA forms in persistently acidic urine; the normal‑anion‑gap/alkaline‑urine pattern of distal renal tubular acidosis favors calcium‑phosphate stones). Directions are chemically correct (low pH and low HU push toward UA).</w:t>
      </w:r>
    </w:p>
    <w:p>
      <w:pPr>
        <w:pStyle w:val="Heading3"/>
      </w:pPr>
      <w:r>
        <w:t>3.5 Elaborations that did not help</w:t>
      </w:r>
    </w:p>
    <w:p>
      <w:r>
        <w:t xml:space="preserve">None of the four pre‑specified alternatives improved on the lean model: Hb‑anchored calibration gave no reduction in same‑composition HU variance (the scanner offset, ~10 HU, is dwarfed by ~220 HU of biological spread); the 3D CNN underperformed and degraded fusion (deep features did not cluster by composition); HU‑distribution‑shape features </w:t>
      </w:r>
      <w:r>
        <w:rPr>
          <w:b/>
        </w:rPr>
        <w:t>reduced</w:t>
      </w:r>
      <w:r>
        <w:t xml:space="preserve"> cross‑validated AUC; and the multi‑stone N‑lift (131→319) was </w:t>
      </w:r>
      <w:r>
        <w:rPr>
          <w:b/>
        </w:rPr>
        <w:t>neutral</w:t>
      </w:r>
      <w:r>
        <w:t>. The density‑gradient extension (§3.6) was likewise rejected. The single‑energy composition signal is captured by attenuation and chemistry, and added complexity overfit at this scale.</w:t>
      </w:r>
    </w:p>
    <w:p>
      <w:pPr>
        <w:pStyle w:val="Heading3"/>
      </w:pPr>
      <w:r>
        <w:t>3.6 Extension results: a biological null and a modest labs‑driven head</w:t>
      </w:r>
    </w:p>
    <w:p>
      <w:r>
        <w:drawing>
          <wp:inline xmlns:a="http://schemas.openxmlformats.org/drawingml/2006/main" xmlns:pic="http://schemas.openxmlformats.org/drawingml/2006/picture">
            <wp:extent cx="5486400" cy="3135086"/>
            <wp:docPr id="5" name="Picture 5"/>
            <wp:cNvGraphicFramePr>
              <a:graphicFrameLocks noChangeAspect="1"/>
            </wp:cNvGraphicFramePr>
            <a:graphic>
              <a:graphicData uri="http://schemas.openxmlformats.org/drawingml/2006/picture">
                <pic:pic>
                  <pic:nvPicPr>
                    <pic:cNvPr id="0" name="Fig5_gradient_ab.png"/>
                    <pic:cNvPicPr/>
                  </pic:nvPicPr>
                  <pic:blipFill>
                    <a:blip r:embed="rId13"/>
                    <a:stretch>
                      <a:fillRect/>
                    </a:stretch>
                  </pic:blipFill>
                  <pic:spPr>
                    <a:xfrm>
                      <a:off x="0" y="0"/>
                      <a:ext cx="5486400" cy="3135086"/>
                    </a:xfrm>
                    <a:prstGeom prst="rect"/>
                  </pic:spPr>
                </pic:pic>
              </a:graphicData>
            </a:graphic>
          </wp:inline>
        </w:drawing>
      </w:r>
    </w:p>
    <w:p>
      <w:r>
        <w:rPr>
          <w:b/>
        </w:rPr>
        <w:t>Figure 5. Density gradient — per‑class AUC, baseline vs. + core/periphery ratio.</w:t>
      </w:r>
      <w:r>
        <w:t xml:space="preserve"> The </w:t>
      </w:r>
      <w:r>
        <w:rPr>
          <w:b/>
        </w:rPr>
        <w:t>density gradient was measurable and stable but non‑discriminating for the calcium subtypes.</w:t>
      </w:r>
      <w:r>
        <w:t xml:space="preserve"> It was computable on </w:t>
      </w:r>
      <w:r>
        <w:rPr>
          <w:b/>
        </w:rPr>
        <w:t>90% of cohort stones</w:t>
      </w:r>
      <w:r>
        <w:t xml:space="preserve"> and stable across reconstruction kernels (coefficient of variation ≈0.4), yet the mean core‑to‑periphery ratio was </w:t>
      </w:r>
      <w:r>
        <w:rPr>
          <w:b/>
        </w:rPr>
        <w:t>2.86 for calcium oxalate vs. 2.80 for calcium phosphate</w:t>
      </w:r>
      <w:r>
        <w:t xml:space="preserve"> — a 0.06 separation against a within‑group SD of ≈1.2. Added to the five‑class model it slightly </w:t>
      </w:r>
      <w:r>
        <w:rPr>
          <w:b/>
        </w:rPr>
        <w:t>lowered</w:t>
      </w:r>
      <w:r>
        <w:t xml:space="preserve"> macro‑F1 (0.317→0.296) and ranked </w:t>
      </w:r>
      <w:r>
        <w:rPr>
          <w:b/>
        </w:rPr>
        <w:t>13th of 17</w:t>
      </w:r>
      <w:r>
        <w:t xml:space="preserve"> features by SHAP; the only real signal it carried was the greater homogeneity of </w:t>
      </w:r>
      <w:r>
        <w:rPr>
          <w:b/>
        </w:rPr>
        <w:t>uric‑acid</w:t>
      </w:r>
      <w:r>
        <w:t xml:space="preserve"> stones (ratio 2.12), already captured by HU and urine pH. The hypothesized oxalate‑dense‑core / phosphate‑taper contrast is therefore </w:t>
      </w:r>
      <w:r>
        <w:rPr>
          <w:b/>
        </w:rPr>
        <w:t>not resolved by single‑energy CT</w:t>
      </w:r>
      <w:r>
        <w:t xml:space="preserve"> — a clean negative, because the feature was well‑measured rather than noisy.</w:t>
      </w: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Fig6_caoxcap_head.png"/>
                    <pic:cNvPicPr/>
                  </pic:nvPicPr>
                  <pic:blipFill>
                    <a:blip r:embed="rId14"/>
                    <a:stretch>
                      <a:fillRect/>
                    </a:stretch>
                  </pic:blipFill>
                  <pic:spPr>
                    <a:xfrm>
                      <a:off x="0" y="0"/>
                      <a:ext cx="5486400" cy="5486400"/>
                    </a:xfrm>
                    <a:prstGeom prst="rect"/>
                  </pic:spPr>
                </pic:pic>
              </a:graphicData>
            </a:graphic>
          </wp:inline>
        </w:drawing>
      </w:r>
    </w:p>
    <w:p>
      <w:r>
        <w:rPr>
          <w:b/>
        </w:rPr>
        <w:t>Figure 6. Calcium‑oxalate‑vs‑phosphate head — ROC by feature set (positive = CaP).</w:t>
      </w:r>
      <w:r>
        <w:t xml:space="preserve"> A </w:t>
      </w:r>
      <w:r>
        <w:rPr>
          <w:b/>
        </w:rPr>
        <w:t>targeted head added modest value, but from labs, not imaging.</w:t>
      </w:r>
      <w:r>
        <w:t xml:space="preserve"> Cross‑validated AUC was 0.665 (HU), 0.675 (HU + gradient), </w:t>
      </w:r>
      <w:r>
        <w:rPr>
          <w:b/>
        </w:rPr>
        <w:t>0.710 (HU + labs; best)</w:t>
      </w:r>
      <w:r>
        <w:t xml:space="preserve">, and 0.697 (HU + labs + gradient); the gradient's apparent benefit over HU alone </w:t>
      </w:r>
      <w:r>
        <w:rPr>
          <w:b/>
        </w:rPr>
        <w:t>vanished against the stronger baseline</w:t>
      </w:r>
      <w:r>
        <w:t xml:space="preserve"> (paired Δ −0.013, 95% CI −0.034 to +0.007, P[Δ&gt;0]=0.11). The deployed head therefore uses </w:t>
      </w:r>
      <w:r>
        <w:rPr>
          <w:b/>
        </w:rPr>
        <w:t>HU + routine labs without the gradient</w:t>
      </w:r>
      <w:r>
        <w:t xml:space="preserve">, reaching </w:t>
      </w:r>
      <w:r>
        <w:rPr>
          <w:b/>
        </w:rPr>
        <w:t>AUROC 0.710 (95% CI 0.637–0.778)</w:t>
      </w:r>
      <w:r>
        <w:t xml:space="preserve"> and exceeding the five‑class model's one‑vs‑rest calcium‑phosphate AUC (0.674). Its discrimination is driven by </w:t>
      </w:r>
      <w:r>
        <w:rPr>
          <w:b/>
        </w:rPr>
        <w:t>urine pH and the acid–base panel</w:t>
      </w:r>
      <w:r>
        <w:t>, consistent with calcium‑phosphate biology (alkaline urine, distal renal tubular acidosis, hypercalcemia).</w:t>
      </w:r>
    </w:p>
    <w:p>
      <w:r>
        <w:drawing>
          <wp:inline xmlns:a="http://schemas.openxmlformats.org/drawingml/2006/main" xmlns:pic="http://schemas.openxmlformats.org/drawingml/2006/picture">
            <wp:extent cx="5486400" cy="3526971"/>
            <wp:docPr id="7" name="Picture 7"/>
            <wp:cNvGraphicFramePr>
              <a:graphicFrameLocks noChangeAspect="1"/>
            </wp:cNvGraphicFramePr>
            <a:graphic>
              <a:graphicData uri="http://schemas.openxmlformats.org/drawingml/2006/picture">
                <pic:pic>
                  <pic:nvPicPr>
                    <pic:cNvPr id="0" name="Fig7_cap_threshold.png"/>
                    <pic:cNvPicPr/>
                  </pic:nvPicPr>
                  <pic:blipFill>
                    <a:blip r:embed="rId15"/>
                    <a:stretch>
                      <a:fillRect/>
                    </a:stretch>
                  </pic:blipFill>
                  <pic:spPr>
                    <a:xfrm>
                      <a:off x="0" y="0"/>
                      <a:ext cx="5486400" cy="3526971"/>
                    </a:xfrm>
                    <a:prstGeom prst="rect"/>
                  </pic:spPr>
                </pic:pic>
              </a:graphicData>
            </a:graphic>
          </wp:inline>
        </w:drawing>
      </w:r>
    </w:p>
    <w:p>
      <w:r>
        <w:rPr>
          <w:b/>
        </w:rPr>
        <w:t>Figure 7. CaP screen operating point.</w:t>
      </w:r>
      <w:r>
        <w:t xml:space="preserve"> Because the AUROC ceiling is ~0.71, sensitivity trades steeply against specificity. The screen is set to a </w:t>
      </w:r>
      <w:r>
        <w:rPr>
          <w:b/>
        </w:rPr>
        <w:t>high‑sensitivity</w:t>
      </w:r>
      <w:r>
        <w:t xml:space="preserve"> point chosen from cross‑validated out‑of‑fold predictions — </w:t>
      </w:r>
      <w:r>
        <w:rPr>
          <w:b/>
        </w:rPr>
        <w:t>target sensitivity 0.85: threshold 0.385, specificity 0.45, NPV 0.70</w:t>
      </w:r>
      <w:r>
        <w:t xml:space="preserve"> (vs. 0.90 sensitivity → specificity 0.23). It functions as a calcium‑phosphate </w:t>
      </w:r>
      <w:r>
        <w:rPr>
          <w:b/>
        </w:rPr>
        <w:t>work‑up prompt</w:t>
      </w:r>
      <w:r>
        <w:t xml:space="preserve"> (urine pH, serum calcium/PTH, distal‑RTA evaluation; caution with potassium citrate, which raises urine pH and can worsen calcium‑phosphate stones), surfaced only when calcium is a genuine contender — explicitly a rule‑in screen (PPV 0.68), not a confirmation.</w:t>
      </w:r>
    </w:p>
    <w:p>
      <w:pPr>
        <w:pStyle w:val="Heading2"/>
      </w:pPr>
      <w:r>
        <w:t>4. Discussion</w:t>
      </w:r>
    </w:p>
    <w:p>
      <w:r>
        <w:t xml:space="preserve">The clinically actionable target in single‑energy CT is </w:t>
      </w:r>
      <w:r>
        <w:rPr>
          <w:b/>
        </w:rPr>
        <w:t>UA vs. non‑UA</w:t>
      </w:r>
      <w:r>
        <w:t xml:space="preserve">, and a model using only </w:t>
      </w:r>
      <w:r>
        <w:rPr>
          <w:b/>
        </w:rPr>
        <w:t>routine ED data</w:t>
      </w:r>
      <w:r>
        <w:t xml:space="preserve"> discriminates it with an AUROC of ~0.78 and, importantly, </w:t>
      </w:r>
      <w:r>
        <w:rPr>
          <w:b/>
        </w:rPr>
        <w:t>positive net clinical benefit</w:t>
      </w:r>
      <w:r>
        <w:t xml:space="preserve"> across realistic decision thresholds. The high NPV makes it well suited to </w:t>
      </w:r>
      <w:r>
        <w:rPr>
          <w:b/>
        </w:rPr>
        <w:t>ruling out</w:t>
      </w:r>
      <w:r>
        <w:t xml:space="preserve"> the dissolvable stone and to </w:t>
      </w:r>
      <w:r>
        <w:rPr>
          <w:b/>
        </w:rPr>
        <w:t>flagging</w:t>
      </w:r>
      <w:r>
        <w:t xml:space="preserve"> candidates for alkalinization or metabolic work‑up. Calcium‑oxalate vs. calcium‑phosphate separation is poor from </w:t>
      </w:r>
      <w:r>
        <w:rPr>
          <w:b/>
        </w:rPr>
        <w:t>imaging</w:t>
      </w:r>
      <w:r>
        <w:t xml:space="preserve"> — the density‑gradient extension confirms that single‑energy attenuation does not resolve the two subtypes structurally, even with a well‑measured, kernel‑stable feature — yet routine </w:t>
      </w:r>
      <w:r>
        <w:rPr>
          <w:b/>
        </w:rPr>
        <w:t>acid–base labs</w:t>
      </w:r>
      <w:r>
        <w:t xml:space="preserve"> recover a modest, biologically‑grounded separation (a dedicated head at AUROC 0.71), deployed as a calibrated refinement of the calcium probabilities and a high‑sensitivity work‑up screen rather than a replacement for stone analysis. This is exactly where DECT, when available, retains an advantage; our method is complementary, targeting the decisions single‑energy data </w:t>
      </w:r>
      <w:r>
        <w:rPr>
          <w:b/>
        </w:rPr>
        <w:t>and routine labs</w:t>
      </w:r>
      <w:r>
        <w:t xml:space="preserve"> can support.</w:t>
      </w:r>
    </w:p>
    <w:p>
      <w:r>
        <w:t xml:space="preserve">The chief value is </w:t>
      </w:r>
      <w:r>
        <w:rPr>
          <w:b/>
        </w:rPr>
        <w:t>deployability and honesty</w:t>
      </w:r>
      <w:r>
        <w:t>: every input is already collected on ED stone patients, and four tempting elaborations were tested and rejected, guarding against the over‑fitting that inflates many radiomics reports.</w:t>
      </w:r>
    </w:p>
    <w:p>
      <w:r>
        <w:rPr>
          <w:b/>
        </w:rPr>
        <w:t>Limitations.</w:t>
      </w:r>
      <w:r>
        <w:t xml:space="preserve"> Retrospective, two‑site, modest UA count (n=36) → wide CI; spot (not 24‑hour) urine chemistry; no explicit diabetes/HbA1c field (entered via glucose); rank‑based multi‑stone matching; and the need for </w:t>
      </w:r>
      <w:r>
        <w:rPr>
          <w:b/>
        </w:rPr>
        <w:t>prospective, external validation</w:t>
      </w:r>
      <w:r>
        <w:t xml:space="preserve">. The calcium‑subtype extension is </w:t>
      </w:r>
      <w:r>
        <w:rPr>
          <w:b/>
        </w:rPr>
        <w:t>modest and preliminary</w:t>
      </w:r>
      <w:r>
        <w:t xml:space="preserve">: the head is trained on a 251‑stone calcium subset, reaches only AUROC 0.71, and is deployed as a </w:t>
      </w:r>
      <w:r>
        <w:rPr>
          <w:b/>
        </w:rPr>
        <w:t>rule‑in screen</w:t>
      </w:r>
      <w:r>
        <w:t xml:space="preserve"> (PPV 0.68), not a confirmation; the density‑gradient negative is established in this single‑energy cohort and does not speak to dual‑energy or micro‑CT. The model is decision‑support, not a replacement for stone analysis.</w:t>
      </w:r>
    </w:p>
    <w:p>
      <w:r>
        <w:rPr>
          <w:b/>
        </w:rPr>
        <w:t>A note on the urinalysis, and the bridge to prospective work.</w:t>
      </w:r>
      <w:r>
        <w:t xml:space="preserve"> Within our routine‑data scope, one input was captured only in part: from the urinalysis we used </w:t>
      </w:r>
      <w:r>
        <w:rPr>
          <w:b/>
        </w:rPr>
        <w:t>urine pH alone</w:t>
      </w:r>
      <w:r>
        <w:t xml:space="preserve">. A standard ED urinalysis additionally reports specific gravity (a concentration reference for spot analytes) and, on microscopy, </w:t>
      </w:r>
      <w:r>
        <w:rPr>
          <w:b/>
        </w:rPr>
        <w:t>crystalluria</w:t>
      </w:r>
      <w:r>
        <w:t xml:space="preserve"> — calcium‑oxalate (envelope/dumbbell), uric‑acid, and struvite ("coffin‑lid") morphologies — which carry composition‑relevant information we did not have. Crystalluria is insensitive and operator‑dependent, so it is unlikely to be the discriminator on its own, but it is genuinely part of a standard visit and a prospective design should record it. More consequentially, the uniformly negative feature search (Appendix A) indicates that the residual </w:t>
      </w:r>
      <w:r>
        <w:rPr>
          <w:b/>
        </w:rPr>
        <w:t>calcium‑oxalate‑vs‑phosphate</w:t>
      </w:r>
      <w:r>
        <w:t xml:space="preserve"> limit will not yield to further imaging or routine chemistry — both are saturated — and instead points to a single </w:t>
      </w:r>
      <w:r>
        <w:rPr>
          <w:b/>
        </w:rPr>
        <w:t>stone‑specific urinary analyte</w:t>
      </w:r>
      <w:r>
        <w:t xml:space="preserve"> absent from routine panels: </w:t>
      </w:r>
      <w:r>
        <w:rPr>
          <w:b/>
        </w:rPr>
        <w:t>spot urinary oxalate referenced to creatinine</w:t>
      </w:r>
      <w:r>
        <w:t>. Oxalate is the swing driver of calcium‑oxalate supersaturation (urinary calcium far exceeds oxalate, so supersaturation tracks oxalate), it is inexpensively measured enzymatically (oxalate oxidase), and an elevated ratio would specifically incriminate calcium oxalate — an *asymmetric, rule‑in* marker (a normal value would not exclude calcium oxalate, since many such formers are normo‑oxaluric). This defines the shortest prospective extension of the present work: adding reflex spot oxalate/creatinine to the routine‑data model, evaluated on the calcium stones this model leaves indeterminate.</w:t>
      </w:r>
    </w:p>
    <w:p>
      <w:pPr>
        <w:pStyle w:val="Heading2"/>
      </w:pPr>
      <w:r>
        <w:t>5. Conclusion</w:t>
      </w:r>
    </w:p>
    <w:p>
      <w:r>
        <w:t xml:space="preserve">Attenuation on routine non‑contrast CT, combined with routine ED labs centered on urine pH and the acid–base axis, identifies uric‑acid stones with clinically useful, well‑calibrated performance and net benefit across realistic thresholds — using data the emergency department already has, without dual‑energy CT. The deliberately lean, interpretable model outperformed every elaboration tested (Appendix A): calibration, deep learning, radiomic shape, larger cohort, stone density gradient, derived acid–base labs, eGFR, and opportunistic bone‑density. Where a finer distinction is possible at all — calcium oxalate vs. phosphate — it comes from </w:t>
      </w:r>
      <w:r>
        <w:rPr>
          <w:b/>
        </w:rPr>
        <w:t>routine acid–base chemistry rather than from imaging</w:t>
      </w:r>
      <w:r>
        <w:t>, and is delivered as a calibrated refinement and high‑sensitivity work‑up screen; the one genuinely orthogonal imaging finding (nephrocalcinosis → calcium phosphate) is mechanistically real but, at this sample size, supportable only as a radiologic flag, not a learned feature. The result is a credible, honest basis for prospective evaluation as real‑world decision support in stone disease.</w:t>
      </w:r>
    </w:p>
    <w:p>
      <w:pPr>
        <w:pStyle w:val="Heading2"/>
      </w:pPr>
      <w:r>
        <w:t>Appendix A. Feature‑search ledger (what else was tested, and rejected)</w:t>
      </w:r>
    </w:p>
    <w:p>
      <w:r>
        <w:t xml:space="preserve">Beyond the four pre‑specified elaborations (§2.5) and the density gradient (§2.6/§3.6), we continued searching for any additional signal extractable from the </w:t>
      </w:r>
      <w:r>
        <w:rPr>
          <w:b/>
        </w:rPr>
        <w:t>routine labs</w:t>
      </w:r>
      <w:r>
        <w:t xml:space="preserve"> or from the </w:t>
      </w:r>
      <w:r>
        <w:rPr>
          <w:b/>
        </w:rPr>
        <w:t>non‑contrast CT beyond the stone itself</w:t>
      </w:r>
      <w:r>
        <w:t>. Everything below was evaluated under the same patient‑grouped repeated cross‑validation with patient‑clustered bootstrap CIs, on the CaOx‑vs‑CaP head (the weak spot) and the five‑class model. All were rejected; the pattern is informative.</w:t>
      </w:r>
    </w:p>
    <w:p>
      <w:r>
        <w:rPr>
          <w:b/>
        </w:rPr>
        <w:t>A.1 Derived acid–base / renal labs (no new measurements).</w:t>
      </w:r>
      <w:r>
        <w:t xml:space="preserve"> An explicit normal‑anion‑gap (hyperchloremic) metabolic‑acidosis composite — the distal‑RTA / GI‑bicarbonate‑loss signature — plus a hyperchloremia index and CKD‑EPI eGFR. None improved discrimination: on the CaOx‑vs‑CaP head, HU+labs 0.710 → +acid‑base 0.709 (Δ −0.000, 95% CI −0.009 to +0.008) and +eGFR 0.700 (Δ −0.009). SHAP attended to eGFR (rank 7/19) yet out‑of‑fold AUC was flat — a clean demonstration that </w:t>
      </w:r>
      <w:r>
        <w:rPr>
          <w:b/>
        </w:rPr>
        <w:t>the acid–base axis is already saturated by the raw bicarbonate/chloride/anion‑gap values</w:t>
      </w:r>
      <w:r>
        <w:t xml:space="preserve"> and eGFR is redundant with creatinine/age/sex. SHAP attention is not predictive value, which is why adjudication is on grouped‑CV AUC, not feature importance.</w:t>
      </w:r>
    </w:p>
    <w:p>
      <w:r>
        <w:rPr>
          <w:b/>
        </w:rPr>
        <w:t>A.2 Imaging beyond the stone.</w:t>
      </w:r>
      <w:r>
        <w:t xml:space="preserve"> From the same TotalSegmentator pass we extracted two patient‑level features: </w:t>
      </w:r>
      <w:r>
        <w:rPr>
          <w:b/>
        </w:rPr>
        <w:t>nephrocalcinosis</w:t>
      </w:r>
      <w:r>
        <w:t xml:space="preserve"> (parenchymal calcific foci within the eroded renal cortex — collecting‑system stone and bone/vessel calcification removed, with a per‑focus size cap to exclude staghorn bleed‑through) and </w:t>
      </w:r>
      <w:r>
        <w:rPr>
          <w:b/>
        </w:rPr>
        <w:t>opportunistic vertebral BMD</w:t>
      </w:r>
      <w:r>
        <w:t xml:space="preserve"> (trabecular‑core L1–L3 median HU).</w:t>
      </w:r>
    </w:p>
    <w:p>
      <w:r>
        <w:t xml:space="preserve">- The </w:t>
      </w:r>
      <w:r>
        <w:rPr>
          <w:b/>
        </w:rPr>
        <w:t>biology was the cleanest of the entire search</w:t>
      </w:r>
      <w:r>
        <w:t>: mean nephrocalcinosis fraction 0.0074 in calcium‑phosphate vs 0.0000 in calcium‑oxalate stones (≈10×), with prevalence rising monotonically CaOx 21% → CaP 33% → struvite 48% — exactly the distal‑RTA / hyperparathyroidism / infection pathways.</w:t>
      </w:r>
    </w:p>
    <w:p>
      <w:r>
        <w:t xml:space="preserve">- On the full cohort, +nephrocalcinosis+BMD produced the only nominally significant gain of the whole search (CaOx‑vs‑CaP +0.038, 95% CI +0.006 to +0.074). </w:t>
      </w:r>
      <w:r>
        <w:rPr>
          <w:b/>
        </w:rPr>
        <w:t>It did not survive verification.</w:t>
      </w:r>
      <w:r>
        <w:t xml:space="preserve"> Complete‑case analysis (restricting to patients with BMD actually measured, removing the 35% missing) collapsed the interval across zero (+0.024, 95% CI −0.021 to +0.069); dropping the 15 heavy‑nephrocalcinosis outliers reduced the nephrocalcinosis effect from +0.013 to +0.004. The apparent gain was carried by a handful of high‑burden cases plus a BMD contribution that vanished complete‑case (BMD's by‑composition means were essentially flat — 187 vs 194 HU — i.e. it re‑encodes age).</w:t>
      </w:r>
    </w:p>
    <w:p>
      <w:r>
        <w:t xml:space="preserve">- </w:t>
      </w:r>
      <w:r>
        <w:rPr>
          <w:b/>
        </w:rPr>
        <w:t>BMD was missing for 35%</w:t>
      </w:r>
      <w:r>
        <w:t xml:space="preserve"> of patients: stone‑protocol CT is centered on the urinary tract, so the lumbar vertebral bodies are frequently clipped (total z‑coverage was similar for BMD‑present and BMD‑missing scans — the difference is FOV centering and series type, not scan length). Importantly, missingness was </w:t>
      </w:r>
      <w:r>
        <w:rPr>
          <w:b/>
        </w:rPr>
        <w:t>not</w:t>
      </w:r>
      <w:r>
        <w:t xml:space="preserve"> associated with composition (CaP rate 0.57 present vs 0.58 missing), so BMD neither leaked through its missingness nor helped.</w:t>
      </w:r>
    </w:p>
    <w:p>
      <w:r>
        <w:rPr>
          <w:b/>
        </w:rPr>
        <w:t>A.3 Body composition (hepatic steatosis, sarcopenia).</w:t>
      </w:r>
      <w:r>
        <w:t xml:space="preserve"> A microbiome‑motivated hypothesis was tested: gut dysbiosis simultaneously raises enteric oxalate absorption (loss of *Oxalobacter*‑mediated degradation → calcium‑oxalate) and drives hepatic fat (NAFLD), so </w:t>
      </w:r>
      <w:r>
        <w:rPr>
          <w:b/>
        </w:rPr>
        <w:t>fatty liver should be more prevalent in calcium‑oxalate than calcium‑phosphate</w:t>
      </w:r>
      <w:r>
        <w:t xml:space="preserve"> — a pathway orthogonal to urine pH. We measured hepatic steatosis (liver−spleen median HU) and muscle quality (paraspinal+psoas mean HU, a height‑free myosteatosis marker), with </w:t>
      </w:r>
      <w:r>
        <w:rPr>
          <w:b/>
        </w:rPr>
        <w:t>99% coverage</w:t>
      </w:r>
      <w:r>
        <w:t xml:space="preserve"> (liver/spleen and muscle are reliably in the urinary‑tract FOV, unlike the lumbar spine). The hypothesis was </w:t>
      </w:r>
      <w:r>
        <w:rPr>
          <w:b/>
        </w:rPr>
        <w:t>not supported, with full power</w:t>
      </w:r>
      <w:r>
        <w:t xml:space="preserve">: calcium‑oxalate vs calcium‑phosphate steatosis rates were 13% vs 17% (liver−spleen +2.4 vs +1.4 HU — calcium‑phosphate marginally *fattier*, opposite the prediction; Mann–Whitney p=0.71). The fatty‑liver signal instead tracked </w:t>
      </w:r>
      <w:r>
        <w:rPr>
          <w:b/>
        </w:rPr>
        <w:t>uric‑acid</w:t>
      </w:r>
      <w:r>
        <w:t xml:space="preserve"> stones (steatosis 25%, liver−spleen −2.3) — the metabolic‑syndrome/insulin‑resistance phenotype already captured by urine pH and glucose. Added to the models the features </w:t>
      </w:r>
      <w:r>
        <w:rPr>
          <w:b/>
        </w:rPr>
        <w:t>degraded</w:t>
      </w:r>
      <w:r>
        <w:t xml:space="preserve"> performance: the CaOx‑vs‑CaP head fell from 0.710 to 0.687 with muscle (Δ −0.023, 95% CI −0.049 to +0.001) and the five‑class macro‑F1 from 0.317 to 0.294. Notably muscle *volume* drew high SHAP attention (rank 5/20) while actively *hurting* out‑of‑fold AUC — body‑size confounding the model latches onto in‑sample but that does not generalize, the clearest illustration in the ledger that </w:t>
      </w:r>
      <w:r>
        <w:rPr>
          <w:b/>
        </w:rPr>
        <w:t>feature importance is not predictive value</w:t>
      </w:r>
      <w:r>
        <w:t>. (A mechanistically sensible sidelight — struvite had the lowest muscle HU, the frail/recurrent‑infection phenotype — was not actionable at n=27.)</w:t>
      </w:r>
    </w:p>
    <w:p>
      <w:r>
        <w:rPr>
          <w:b/>
        </w:rPr>
        <w:t>A.4 Vascular and chronic‑infection markers.</w:t>
      </w:r>
      <w:r>
        <w:t xml:space="preserve"> Aortic wall calcification was tested as a readout of calcium‑phosphate / mineral metabolism (CKD‑MBD, high Ca×PO₄) — a phosphate axis the labs do not measure (no serum phosphate/PTH), hypothesized higher in calcium‑phosphate than calcium‑oxalate. An initial 130‑HU shell over‑detected (≈90% prevalence in an age‑47 cohort = partial volume), so the feature was re‑extracted Agatston‑style (focus peak ≥200 HU, 4–200 mm³ size window, density‑weighted score, broadened bone exclusion), dropping prevalence to a plausible 78% and cleanly separating genuinely calcified patients from noise. The clean feature was </w:t>
      </w:r>
      <w:r>
        <w:rPr>
          <w:b/>
        </w:rPr>
        <w:t>null and, if anything, reversed</w:t>
      </w:r>
      <w:r>
        <w:t xml:space="preserve">: calcium‑oxalate had marginally *more* aortic calcium than calcium‑phosphate (median Agatston 330 vs 249, p=0.31), the </w:t>
      </w:r>
      <w:r>
        <w:rPr>
          <w:b/>
        </w:rPr>
        <w:t>age‑adjusted coefficient was −0.10 (95% CI −0.41 to +0.21)</w:t>
      </w:r>
      <w:r>
        <w:t xml:space="preserve">, and the CaOx‑vs‑CaP head was unmoved (Δ +0.001). Vascular calcification indexes the hypercalciuria/calcium‑overload phenotype (calcium‑oxalate) as much as the phosphate axis, netting to nothing. Bladder wall fraction / volume and prostate calcification (exploratory struvite markers) produced an apparent but </w:t>
      </w:r>
      <w:r>
        <w:rPr>
          <w:b/>
        </w:rPr>
        <w:t>spurious</w:t>
      </w:r>
      <w:r>
        <w:t xml:space="preserve"> gain: prostate calcification ranked #1 of 22 by SHAP yet is simply a </w:t>
      </w:r>
      <w:r>
        <w:rPr>
          <w:b/>
        </w:rPr>
        <w:t>sex indicator</w:t>
      </w:r>
      <w:r>
        <w:t xml:space="preserve"> (present in 79% of males, 1% of females), drove the entire effect, was non‑significant (95% CI crossing zero), redundant with the sex already modeled, and *lowered* five‑class struvite AUC (0.686→0.626) — the project's sharpest example that feature importance is not predictive value.</w:t>
      </w:r>
    </w:p>
    <w:p>
      <w:r>
        <w:rPr>
          <w:b/>
        </w:rPr>
        <w:t>A.5 Disposition.</w:t>
      </w:r>
      <w:r>
        <w:t xml:space="preserve"> Nephrocalcinosis is retained as a </w:t>
      </w:r>
      <w:r>
        <w:rPr>
          <w:b/>
        </w:rPr>
        <w:t>deterministic radiologic flag</w:t>
      </w:r>
      <w:r>
        <w:t xml:space="preserve"> (substantial parenchymal calcification → favor calcium phosphate; evaluate for distal RTA / hyperparathyroidism / medullary sponge kidney), surfaced in the report when foci are auto‑detected — not as a model input it is too sparse to support. BMD, body composition, vascular calcification, and the derived labs are not used. Across the full ledger — calibration, deep learning, HU‑shape radiomics, larger cohort, density gradient, derived acid–base, eGFR, BMD, hepatic steatosis, sarcopenia, aortic calcification, and bladder/prostate markers — single‑energy composition prediction proved </w:t>
      </w:r>
      <w:r>
        <w:rPr>
          <w:b/>
        </w:rPr>
        <w:t>saturated by stone attenuation and urine/acid–base chemistry</w:t>
      </w:r>
      <w:r>
        <w:t xml:space="preserve">, and the one orthogonal imaging signal (nephrocalcinosis → calcium phosphate) is mechanistically real yet, at n=144 calcium‑phosphate stones, confirmable only as a flag. The most likely path to the remaining gap (struvite, calcium‑subtype) is </w:t>
      </w:r>
      <w:r>
        <w:rPr>
          <w:b/>
        </w:rPr>
        <w:t>additional data — urinalysis infection markers and larger N — not further mining of the single‑energy 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