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the Monolithic Stone: An AI Multimodal Method for Modern Nephrolithiasis Management</w:t>
      </w:r>
    </w:p>
    <w:p>
      <w:pPr>
        <w:pStyle w:val="Heading2"/>
      </w:pPr>
      <w:r>
        <w:t>Abstract</w:t>
      </w:r>
    </w:p>
    <w:p>
      <w:r>
        <w:t xml:space="preserve">Kidney stones are routinely treated as monolithic objects summarized by a single CT attenuation value, yet most are </w:t>
      </w:r>
      <w:r>
        <w:rPr>
          <w:b/>
        </w:rPr>
        <w:t>multicomponent</w:t>
      </w:r>
      <w:r>
        <w:t xml:space="preserve"> — a nidus laminated by shells of differing composition. We asked what a </w:t>
      </w:r>
      <w:r>
        <w:rPr>
          <w:b/>
        </w:rPr>
        <w:t>standard acute emergency‑department (ED) evaluation</w:t>
      </w:r>
      <w:r>
        <w:t xml:space="preserve"> — a single‑energy non‑contrast CT (NCCT) and the routine laboratory panel — can actually resolve about composition, reframing the problem around the </w:t>
      </w:r>
      <w:r>
        <w:rPr>
          <w:b/>
        </w:rPr>
        <w:t>management decisions that diverge</w:t>
      </w:r>
      <w:r>
        <w:t xml:space="preserve"> rather than a composition taxonomy, since dual‑energy CT is not available in routine ED care. In 319 laboratory‑analyzed stones from 223 patients (</w:t>
      </w:r>
      <w:r>
        <w:rPr>
          <w:b/>
        </w:rPr>
        <w:t>68% multicomponent</w:t>
      </w:r>
      <w:r>
        <w:t xml:space="preserve">), under repeated patient‑grouped cross‑validation with patient‑clustered bootstrap: </w:t>
      </w:r>
      <w:r>
        <w:rPr>
          <w:b/>
        </w:rPr>
        <w:t>(Node A) the dissolvable decision — uric acid vs. non‑uric‑acid — was reliably resolved</w:t>
      </w:r>
      <w:r>
        <w:t xml:space="preserve"> (AUROC 0.76; high‑sensitivity NPV 0.97; positive decision‑curve net benefit across the plausible threshold range), the one acute decision that changes management. </w:t>
      </w:r>
      <w:r>
        <w:rPr>
          <w:b/>
        </w:rPr>
        <w:t>(Node C1) single‑energy CT could not detect multicomponent structure</w:t>
      </w:r>
      <w:r>
        <w:t xml:space="preserve">: HU architecture (variance, entropy, modality, core‑to‑rim gradient) classified single‑ vs. multi‑component stones at chance (AUROC </w:t>
      </w:r>
      <w:r>
        <w:rPr>
          <w:b/>
        </w:rPr>
        <w:t>0.54, 95% CI 0.46–0.61</w:t>
      </w:r>
      <w:r>
        <w:t xml:space="preserve">), and *worse* as the mixedness threshold tightened — the signature of partial‑volume averaging erasing the laminated footprint. </w:t>
      </w:r>
      <w:r>
        <w:rPr>
          <w:b/>
        </w:rPr>
        <w:t>(Node C2) a predominant‑calcium‑phosphate rule‑in</w:t>
      </w:r>
      <w:r>
        <w:t xml:space="preserve"> — a metabolic flag for the alkaline‑urine / distal‑renal‑tubular‑acidosis / hyperparathyroid phenotype — reached AUROC </w:t>
      </w:r>
      <w:r>
        <w:rPr>
          <w:b/>
        </w:rPr>
        <w:t>0.71 (0.64–0.78)</w:t>
      </w:r>
      <w:r>
        <w:t xml:space="preserve"> from CT plus labs. A systematic, pre‑registered exclusion of </w:t>
      </w:r>
      <w:r>
        <w:rPr>
          <w:b/>
        </w:rPr>
        <w:t>fourteen</w:t>
      </w:r>
      <w:r>
        <w:t xml:space="preserve"> feature families (HU calibration, deep learning, radiomic shape, density gradient, derived acid–base labs, opportunistic bone density, hepatic steatosis, sarcopenia, aortic calcification, and multicomponent architecture, among others) found </w:t>
      </w:r>
      <w:r>
        <w:rPr>
          <w:b/>
        </w:rPr>
        <w:t>none improved</w:t>
      </w:r>
      <w:r>
        <w:t xml:space="preserve"> on this routine‑data baseline. </w:t>
      </w:r>
      <w:r>
        <w:rPr>
          <w:b/>
        </w:rPr>
        <w:t>The monolithic stone is a myth twice over</w:t>
      </w:r>
      <w:r>
        <w:t>: stones are multicomponent, and single‑energy CT cannot see it — so a single HU value is doubly misleading. The deployable contribution is a multimodal (imaging + laboratory) method targeting the decisions that actually diverge, and a negative‑findings ledger that maps the boundary of routine data so others need not re‑explore it. The residual calcium‑oxalate‑vs‑phosphate gap — where it matters at all — is localized to stone‑specific urinary analytes (spot oxalate) absent from routine panels.</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r>
        <w:rPr>
          <w:b/>
        </w:rPr>
        <w:t>Scope and design principle.</w:t>
      </w:r>
      <w:r>
        <w:t xml:space="preserve"> We deliberately restrict the predictor's inputs to what a </w:t>
      </w:r>
      <w:r>
        <w:rPr>
          <w:b/>
        </w:rPr>
        <w:t>standard acute ED stone evaluation already generates</w:t>
      </w:r>
      <w:r>
        <w:t xml:space="preserve">: a single‑energy NCCT (stone attenuation, size, location; and any feature derivable from that volume) and the routine laboratory panel drawn at that encounter — complete blood count, basic metabolic panel, and urinalysis (from which pH is used) — with age and sex. No specialized acquisition (DECT), no send‑out or 24‑hour metabolic panel, and no data unavailable at the index visit are used. This boundary is intentional and is central to the contribution: when an added feature fails to improve prediction within it, the result defines the </w:t>
      </w:r>
      <w:r>
        <w:rPr>
          <w:b/>
        </w:rPr>
        <w:t>ceiling of routinely available data</w:t>
      </w:r>
      <w:r>
        <w:t>, not an artifact of an incomplete work‑up. The systematic feature search of Appendix A — and its uniformly negative result across fourteen families — should be read in that light: a map of what single‑energy CT and standard ED chemistry can and cannot resolve, published so that others need not re‑discover the same boundaries.</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3"/>
      </w:pPr>
      <w:r>
        <w:t>3.7 Decision‑node performance</w:t>
      </w:r>
    </w:p>
    <w:p>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S3_decision_nodes.png"/>
                    <pic:cNvPicPr/>
                  </pic:nvPicPr>
                  <pic:blipFill>
                    <a:blip r:embed="rId16"/>
                    <a:stretch>
                      <a:fillRect/>
                    </a:stretch>
                  </pic:blipFill>
                  <pic:spPr>
                    <a:xfrm>
                      <a:off x="0" y="0"/>
                      <a:ext cx="5486400" cy="2094807"/>
                    </a:xfrm>
                    <a:prstGeom prst="rect"/>
                  </pic:spPr>
                </pic:pic>
              </a:graphicData>
            </a:graphic>
          </wp:inline>
        </w:drawing>
      </w:r>
    </w:p>
    <w:p>
      <w:r>
        <w:rPr>
          <w:b/>
        </w:rPr>
        <w:t>Figure 8. Reframing around management decisions.</w:t>
      </w:r>
      <w:r>
        <w:t xml:space="preserve"> Recasting the problem as the decisions that diverge — rather than a composition taxonomy — clarifies both what routine data delivers and what it cannot. </w:t>
      </w:r>
      <w:r>
        <w:rPr>
          <w:b/>
        </w:rPr>
        <w:t>Node A (dissolvable?)</w:t>
      </w:r>
      <w:r>
        <w:t xml:space="preserve"> — uric acid vs. non‑UA, the one acute decision that changes management (medical dissolution vs. intervention) — was resolved at </w:t>
      </w:r>
      <w:r>
        <w:rPr>
          <w:b/>
        </w:rPr>
        <w:t>AUROC 0.76 (95% CI 0.64–0.86)</w:t>
      </w:r>
      <w:r>
        <w:t xml:space="preserve"> from CT + labs. (Node B, infection/struvite, is a clinical diagnosis — alkaline turbid malodorous urine, recurrent UTI, sepsis — and is not a modeling target.) </w:t>
      </w:r>
      <w:r>
        <w:rPr>
          <w:b/>
        </w:rPr>
        <w:t>Node C1 (multicomponent?)</w:t>
      </w:r>
      <w:r>
        <w:t xml:space="preserve"> — whether a stone is single‑ vs. multi‑component, a coarser and better‑balanced task (68% multicomponent) that, per the lamination mechanism, should leave an HU‑architecture footprint even without resolving composition — was </w:t>
      </w:r>
      <w:r>
        <w:rPr>
          <w:b/>
        </w:rPr>
        <w:t>not detectable</w:t>
      </w:r>
      <w:r>
        <w:t xml:space="preserve">: imaging AUROC </w:t>
      </w:r>
      <w:r>
        <w:rPr>
          <w:b/>
        </w:rPr>
        <w:t>0.54 (0.46–0.61)</w:t>
      </w:r>
      <w:r>
        <w:t xml:space="preserve"> at the loosest definition, falling *below* chance as the second‑component threshold tightened (0.46–0.48 at ≥25–40%). That is the opposite of a resolvable signal (a cleaner two‑phase stone should be *easier*), and the expected consequence of partial‑volume averaging at clinical resolution: the core‑to‑rim and HU‑shape features ranked on top by SHAP yet carried no discrimination. </w:t>
      </w:r>
      <w:r>
        <w:rPr>
          <w:b/>
        </w:rPr>
        <w:t>Node C2 (predominant CaP?)</w:t>
      </w:r>
      <w:r>
        <w:t xml:space="preserve"> — a calcium‑phosphate rule‑in flagging the metabolic phenotype — reached </w:t>
      </w:r>
      <w:r>
        <w:rPr>
          <w:b/>
        </w:rPr>
        <w:t>AUROC 0.71 (0.64–0.78)</w:t>
      </w:r>
      <w:r>
        <w:t xml:space="preserve"> (Youden: sensitivity 0.77, specificity 0.55), operationalized as the high‑sensitivity work‑up screen and the nephrocalcinosis flag (§3.6, R3). The through‑line: routine single‑energy data resolves the dissolvable decision that matters and supports a modest metabolic flag, but is blind to the multicomponent architecture that in fact characterizes most stones — the monolithic‑stone assumption fails both because stones are mixed and because the imaging cannot see that they are.</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r>
        <w:rPr>
          <w:b/>
        </w:rPr>
        <w:t>A note on the urinalysis, and the bridge to prospective work.</w:t>
      </w:r>
      <w:r>
        <w:t xml:space="preserve"> Within our routine‑data scope, one input was captured only in part: from the urinalysis we used </w:t>
      </w:r>
      <w:r>
        <w:rPr>
          <w:b/>
        </w:rPr>
        <w:t>urine pH alone</w:t>
      </w:r>
      <w:r>
        <w:t xml:space="preserve">. A standard ED urinalysis additionally reports specific gravity (a concentration reference for spot analytes) and, on microscopy, </w:t>
      </w:r>
      <w:r>
        <w:rPr>
          <w:b/>
        </w:rPr>
        <w:t>crystalluria</w:t>
      </w:r>
      <w:r>
        <w:t xml:space="preserve"> — calcium‑oxalate (envelope/dumbbell), uric‑acid, and struvite ("coffin‑lid") morphologies — which carry composition‑relevant information we did not have. Crystalluria is insensitive and operator‑dependent, so it is unlikely to be the discriminator on its own, but it is genuinely part of a standard visit and a prospective design should record it. More consequentially, the uniformly negative feature search (Appendix A) indicates that the residual </w:t>
      </w:r>
      <w:r>
        <w:rPr>
          <w:b/>
        </w:rPr>
        <w:t>calcium‑oxalate‑vs‑phosphate</w:t>
      </w:r>
      <w:r>
        <w:t xml:space="preserve"> limit will not yield to further imaging or routine chemistry — both are saturated — and instead points to a single </w:t>
      </w:r>
      <w:r>
        <w:rPr>
          <w:b/>
        </w:rPr>
        <w:t>stone‑specific urinary analyte</w:t>
      </w:r>
      <w:r>
        <w:t xml:space="preserve"> absent from routine panels: </w:t>
      </w:r>
      <w:r>
        <w:rPr>
          <w:b/>
        </w:rPr>
        <w:t>spot urinary oxalate referenced to creatinine</w:t>
      </w:r>
      <w:r>
        <w:t>. Oxalate is the swing driver of calcium‑oxalate supersaturation (urinary calcium far exceeds oxalate, so supersaturation tracks oxalate), it is inexpensively measured enzymatically (oxalate oxidase), and an elevated ratio would specifically incriminate calcium oxalate — an *asymmetric, rule‑in* marker (a normal value would not exclude calcium oxalate, since many such formers are normo‑oxaluric). This defines the shortest prospective extension of the present work: adding reflex spot oxalate/creatinine to the routine‑data model, evaluated on the calcium stones this model leaves indeterminate.</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opportunistic bone‑density, body composition, vascular calcification, and multicomponent architecture.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Body composition (hepatic steatosis, sarcopenia).</w:t>
      </w:r>
      <w:r>
        <w:t xml:space="preserve"> A microbiome‑motivated hypothesis was tested: gut dysbiosis simultaneously raises enteric oxalate absorption (loss of *Oxalobacter*‑mediated degradation → calcium‑oxalate) and drives hepatic fat (NAFLD), so </w:t>
      </w:r>
      <w:r>
        <w:rPr>
          <w:b/>
        </w:rPr>
        <w:t>fatty liver should be more prevalent in calcium‑oxalate than calcium‑phosphate</w:t>
      </w:r>
      <w:r>
        <w:t xml:space="preserve"> — a pathway orthogonal to urine pH. We measured hepatic steatosis (liver−spleen median HU) and muscle quality (paraspinal+psoas mean HU, a height‑free myosteatosis marker), with </w:t>
      </w:r>
      <w:r>
        <w:rPr>
          <w:b/>
        </w:rPr>
        <w:t>99% coverage</w:t>
      </w:r>
      <w:r>
        <w:t xml:space="preserve"> (liver/spleen and muscle are reliably in the urinary‑tract FOV, unlike the lumbar spine). The hypothesis was </w:t>
      </w:r>
      <w:r>
        <w:rPr>
          <w:b/>
        </w:rPr>
        <w:t>not supported, with full power</w:t>
      </w:r>
      <w:r>
        <w:t xml:space="preserve">: calcium‑oxalate vs calcium‑phosphate steatosis rates were 13% vs 17% (liver−spleen +2.4 vs +1.4 HU — calcium‑phosphate marginally *fattier*, opposite the prediction; Mann–Whitney p=0.71). The fatty‑liver signal instead tracked </w:t>
      </w:r>
      <w:r>
        <w:rPr>
          <w:b/>
        </w:rPr>
        <w:t>uric‑acid</w:t>
      </w:r>
      <w:r>
        <w:t xml:space="preserve"> stones (steatosis 25%, liver−spleen −2.3) — the metabolic‑syndrome/insulin‑resistance phenotype already captured by urine pH and glucose. Added to the models the features </w:t>
      </w:r>
      <w:r>
        <w:rPr>
          <w:b/>
        </w:rPr>
        <w:t>degraded</w:t>
      </w:r>
      <w:r>
        <w:t xml:space="preserve"> performance: the CaOx‑vs‑CaP head fell from 0.710 to 0.687 with muscle (Δ −0.023, 95% CI −0.049 to +0.001) and the five‑class macro‑F1 from 0.317 to 0.294. Notably muscle *volume* drew high SHAP attention (rank 5/20) while actively *hurting* out‑of‑fold AUC — body‑size confounding the model latches onto in‑sample but that does not generalize, the clearest illustration in the ledger that </w:t>
      </w:r>
      <w:r>
        <w:rPr>
          <w:b/>
        </w:rPr>
        <w:t>feature importance is not predictive value</w:t>
      </w:r>
      <w:r>
        <w:t>. (A mechanistically sensible sidelight — struvite had the lowest muscle HU, the frail/recurrent‑infection phenotype — was not actionable at n=27.)</w:t>
      </w:r>
    </w:p>
    <w:p>
      <w:r>
        <w:rPr>
          <w:b/>
        </w:rPr>
        <w:t>A.4 Vascular and chronic‑infection markers.</w:t>
      </w:r>
      <w:r>
        <w:t xml:space="preserve"> Aortic wall calcification was tested as a readout of calcium‑phosphate / mineral metabolism (CKD‑MBD, high Ca×PO₄) — a phosphate axis the labs do not measure (no serum phosphate/PTH), hypothesized higher in calcium‑phosphate than calcium‑oxalate. An initial 130‑HU shell over‑detected (≈90% prevalence in an age‑47 cohort = partial volume), so the feature was re‑extracted Agatston‑style (focus peak ≥200 HU, 4–200 mm³ size window, density‑weighted score, broadened bone exclusion), dropping prevalence to a plausible 78% and cleanly separating genuinely calcified patients from noise. The clean feature was </w:t>
      </w:r>
      <w:r>
        <w:rPr>
          <w:b/>
        </w:rPr>
        <w:t>null and, if anything, reversed</w:t>
      </w:r>
      <w:r>
        <w:t xml:space="preserve">: calcium‑oxalate had marginally *more* aortic calcium than calcium‑phosphate (median Agatston 330 vs 249, p=0.31), the </w:t>
      </w:r>
      <w:r>
        <w:rPr>
          <w:b/>
        </w:rPr>
        <w:t>age‑adjusted coefficient was −0.10 (95% CI −0.41 to +0.21)</w:t>
      </w:r>
      <w:r>
        <w:t xml:space="preserve">, and the CaOx‑vs‑CaP head was unmoved (Δ +0.001). Vascular calcification indexes the hypercalciuria/calcium‑overload phenotype (calcium‑oxalate) as much as the phosphate axis, netting to nothing. Bladder wall fraction / volume and prostate calcification (exploratory struvite markers) produced an apparent but </w:t>
      </w:r>
      <w:r>
        <w:rPr>
          <w:b/>
        </w:rPr>
        <w:t>spurious</w:t>
      </w:r>
      <w:r>
        <w:t xml:space="preserve"> gain: prostate calcification ranked #1 of 22 by SHAP yet is simply a </w:t>
      </w:r>
      <w:r>
        <w:rPr>
          <w:b/>
        </w:rPr>
        <w:t>sex indicator</w:t>
      </w:r>
      <w:r>
        <w:t xml:space="preserve"> (present in 79% of males, 1% of females), drove the entire effect, was non‑significant (95% CI crossing zero), redundant with the sex already modeled, and *lowered* five‑class struvite AUC (0.686→0.626) — the project's sharpest example that feature importance is not predictive value.</w:t>
      </w:r>
    </w:p>
    <w:p>
      <w:r>
        <w:rPr>
          <w:b/>
        </w:rPr>
        <w:t>A.5 Multicomponent architecture (the monolithic‑stone test).</w:t>
      </w:r>
      <w:r>
        <w:t xml:space="preserve"> Because dual stones laminate — a nidus shelled by a second phase of distinct composition and density — we tested whether HU *architecture* could flag single‑ vs. multi‑component stones *without* resolving composition, a coarser and better‑balanced task (68% multicomponent) than subtyping. Imaging features (HU variance, IQR, range, skew, kurtosis, entropy, GMM modality, core‑to‑rim gradient, sphericity, elongation, volume) were evaluated against a multicomponent label swept over the second‑component fraction (≥5% to ≥40%). Detection was </w:t>
      </w:r>
      <w:r>
        <w:rPr>
          <w:b/>
        </w:rPr>
        <w:t>at chance and worsened with a cleaner definition</w:t>
      </w:r>
      <w:r>
        <w:t>: AUROC 0.54 (95% CI 0.46–0.61) at ≥5%, falling to 0.46–0.48 at ≥25–40% — the opposite of a resolvable signal, and the signature of partial‑volume averaging erasing the laminated footprint at clinical slice thickness. Adding labs did not help. The core‑to‑rim and modality features ranked on top by SHAP but carried no discrimination. Single‑energy CT is therefore blind to the multicomponent structure that characterizes most stones.</w:t>
      </w:r>
    </w:p>
    <w:p>
      <w:r>
        <w:rPr>
          <w:b/>
        </w:rPr>
        <w:t>A.6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body composition, vascular calcification, HU architecture, and the derived labs are not used. Across the full ledger — calibration, deep learning, HU‑shape radiomics, larger cohort, density gradient, derived acid–base, eGFR, BMD, hepatic steatosis, sarcopenia, aortic calcification, bladder/prostate markers, and multicomponent architecture — single‑energy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calcium‑subtype gap — where it matters — is a </w:t>
      </w:r>
      <w:r>
        <w:rPr>
          <w:b/>
        </w:rPr>
        <w:t>stone‑specific urinary analyte (spot oxalate/creatinine)</w:t>
      </w:r>
      <w:r>
        <w:t xml:space="preserve"> absent from routine panels,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