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9EF92" w14:textId="77777777" w:rsidR="00D07B66" w:rsidRDefault="00000000">
      <w:pPr>
        <w:pStyle w:val="Heading1"/>
      </w:pPr>
      <w:bookmarkStart w:id="0" w:name="content"/>
      <w:bookmarkStart w:id="1" w:name="X7c2197cbabbec944855c0d718dae04f59a47de7"/>
      <w:r>
        <w:t>Deterministic, Conflict-Safe, Governance-Aware Execution Semantics for ECA Automation over Evolving RDF Knowledge Graphs in Semantic Digital Twins</w:t>
      </w:r>
    </w:p>
    <w:p w14:paraId="46A88004" w14:textId="77777777" w:rsidR="00D07B66" w:rsidRDefault="00000000">
      <w:pPr>
        <w:pStyle w:val="Heading2"/>
      </w:pPr>
      <w:bookmarkStart w:id="2" w:name="abstract"/>
      <w:r>
        <w:t>Abstract</w:t>
      </w:r>
    </w:p>
    <w:p w14:paraId="4943FA56" w14:textId="77777777" w:rsidR="00D07B66" w:rsidRDefault="00000000">
      <w:pPr>
        <w:pStyle w:val="FirstParagraph"/>
      </w:pPr>
      <w:r>
        <w:t>Semantic digital twins increasingly integrate knowledge graph representations with continuous event streams to support not only analysis but also automated actuation in cyber-physical environments (Karabulut et al., 2024; Donkers et al., 2024; Guittoum et al., 2023). In this setting, automation outcomes can depend on execution-level choices such as windowing, timing, and result delivery policies that vary across stream reasoning and RDF stream processing systems (Dell’Aglio et al., 2013; Dell’Aglio et al., 2014). When derived conditions trigger side-effecting actions, reliability cannot be inferred from rule correctness alone; it requires a formally specified execution semantics that determines which rule instances fire, how concurrent activations are ordered, how conflicts are resolved, and how authorization and governance constraints constrain enactment (Paton &amp; Díaz, 1999; Papamarkos et al., 2006; Kirrane et al., 2017).</w:t>
      </w:r>
    </w:p>
    <w:p w14:paraId="4FE789C3" w14:textId="313708F5" w:rsidR="00D07B66" w:rsidRDefault="00000000">
      <w:pPr>
        <w:pStyle w:val="BodyText"/>
      </w:pPr>
      <w:r>
        <w:t xml:space="preserve">This paper proposes a unified execution semantics for event-condition-action automation over evolving RDF knowledge graph state in semantic digital twins. The semantics is successor-state based: each evaluation step deterministically maps a configuration of graph state, event window, rule set, and role context to a unique successor graph and an auditable transition trace. Determinism is achieved by a total, rule-instance-aware scheduling order that preserves provenance of action instances. Conflict safety is enforced at runtime by an admissibility predicate defined over action sets, where admissibility is determined by safety and governance invariants validated on candidate successor states using an explicit validation semantics (Corman et al., 2018; Oudshoorn et al., 2026). </w:t>
      </w:r>
      <w:r w:rsidR="008347D7" w:rsidRPr="008347D7">
        <w:t xml:space="preserve">Governance is integrated into execution meaning in the abstract model through enablement, scheduling precedence, admissibility checks, and accountability obligations, and is instantiated in the present prototype primarily through role precedence and policy-relevant admissibility checks, grounded in established access control models and RDF enforcement patterns (Sandhu et al., 1996; </w:t>
      </w:r>
      <w:proofErr w:type="spellStart"/>
      <w:r w:rsidR="008347D7" w:rsidRPr="008347D7">
        <w:t>Flouris</w:t>
      </w:r>
      <w:proofErr w:type="spellEnd"/>
      <w:r w:rsidR="008347D7" w:rsidRPr="008347D7">
        <w:t xml:space="preserve"> et al., 2010; Gabillon &amp; </w:t>
      </w:r>
      <w:proofErr w:type="spellStart"/>
      <w:r w:rsidR="008347D7" w:rsidRPr="008347D7">
        <w:t>Letouzey</w:t>
      </w:r>
      <w:proofErr w:type="spellEnd"/>
      <w:r w:rsidR="008347D7" w:rsidRPr="008347D7">
        <w:t>, 2010; Kirrane et al., 2017).</w:t>
      </w:r>
      <w:r w:rsidR="008347D7">
        <w:t xml:space="preserve"> </w:t>
      </w:r>
      <w:r w:rsidR="008347D7" w:rsidRPr="008347D7">
        <w:t>We provide a validation strategy with a controlled building-inspired semantic digital twin benchmark and a comparative baseline demonstrating how nondeterministic scheduling can lead to divergent automation outcomes under equivalent inputs.</w:t>
      </w:r>
    </w:p>
    <w:p w14:paraId="009CD37D" w14:textId="77777777" w:rsidR="00D07B66" w:rsidRDefault="00000000">
      <w:pPr>
        <w:pStyle w:val="Heading2"/>
      </w:pPr>
      <w:bookmarkStart w:id="3" w:name="introduction"/>
      <w:bookmarkEnd w:id="2"/>
      <w:r>
        <w:lastRenderedPageBreak/>
        <w:t>Introduction</w:t>
      </w:r>
    </w:p>
    <w:p w14:paraId="1B6A0721" w14:textId="77777777" w:rsidR="00D07B66" w:rsidRDefault="00000000">
      <w:pPr>
        <w:pStyle w:val="Heading3"/>
      </w:pPr>
      <w:bookmarkStart w:id="4" w:name="X8846ccd75302f13516889fda92af5cec363ebbe"/>
      <w:r>
        <w:t>Motivation: from semantic state to executable behavior</w:t>
      </w:r>
    </w:p>
    <w:p w14:paraId="4DA0309D" w14:textId="77777777" w:rsidR="00D07B66" w:rsidRDefault="00000000">
      <w:pPr>
        <w:pStyle w:val="FirstParagraph"/>
      </w:pPr>
      <w:r>
        <w:t>Digital twins are widely understood as digital representations of physical assets and processes that support monitoring, simulation, and decision-making, and are increasingly engineered toward closed-loop control in industrial and built-environment settings (Karabulut et al., 2024; Ramonell et al., 2023). Semantic digital twins specialize this idea by representing twin state as an RDF knowledge graph aligned with ontologies and constrained or validated by explicit schemas and rules (Bader &amp; Maleshkova, 2019; Donkers et al., 2024). They commonly integrate data streams from IoT devices with background knowledge to enable continuous query answering and temporal pattern inference (Dell’Aglio et al., 2017; Anicic et al., 2011; Barbieri et al., 2010; Le-Phuoc et al., 2011).</w:t>
      </w:r>
    </w:p>
    <w:p w14:paraId="1575E226" w14:textId="77777777" w:rsidR="00D07B66" w:rsidRDefault="00000000">
      <w:pPr>
        <w:pStyle w:val="BodyText"/>
      </w:pPr>
      <w:r>
        <w:t>The step from semantic interpretation to semantic actuation changes what “correctness” means. When a twin actuates, the meaning of execution must be defined as precisely as the meaning of inference. Without a well-defined execution semantics, two implementations receiving the same stream and initial graph may commit different actions due to differences in scheduling, conflict resolution, or policy enforcement. This is a direct obstacle to reproducibility, auditability, and safe deployment in high-assurance settings.</w:t>
      </w:r>
    </w:p>
    <w:p w14:paraId="66718533" w14:textId="77777777" w:rsidR="00D07B66" w:rsidRDefault="00000000">
      <w:pPr>
        <w:pStyle w:val="Heading3"/>
      </w:pPr>
      <w:bookmarkStart w:id="5" w:name="Xe79f07d0a24c1be482356b8baa752b04aa22b61"/>
      <w:bookmarkEnd w:id="4"/>
      <w:r>
        <w:t>Why execution semantics is the reliability bottleneck</w:t>
      </w:r>
    </w:p>
    <w:p w14:paraId="2C0FD49D" w14:textId="77777777" w:rsidR="00D07B66" w:rsidRDefault="00000000">
      <w:pPr>
        <w:pStyle w:val="FirstParagraph"/>
      </w:pPr>
      <w:r>
        <w:t>In stream reasoning and RDF stream processing, it is well established that operational choices such as windowing and evaluation cadence are not merely implementation details. They alter the answers produced by continuous queries even when inputs are identical (Arasu et al., 2006; Botan et al., 2010; Dell’Aglio et al., 2013; Dell’Aglio et al., 2014). Recent comparative studies further emphasize that heterogeneity across engines remains substantial and that semantics-aware benchmarking is required to interpret results (Schneider et al., 2022; Gruber &amp; Glimm, 2023). These observations, however, largely concentrate on derivation (query results, inferred facts) rather than enactment (state updates and external side effects).</w:t>
      </w:r>
    </w:p>
    <w:p w14:paraId="765C51C4" w14:textId="77777777" w:rsidR="00D07B66" w:rsidRDefault="00000000">
      <w:pPr>
        <w:pStyle w:val="BodyText"/>
      </w:pPr>
      <w:r>
        <w:t>In active databases and trigger systems, execution order, coupling modes, conflict behavior, and transactional boundaries are recognized as central semantic concerns (Paton &amp; Díaz, 1999). Trigger-action programming in IoT similarly shows that real deployments exhibit conflicts, unexpected interactions, and defects, motivating conflict analysis and detection (Ur et al., 2014; Ur et al., 2016; Chen et al., 2022; Chen et al., 2024; Xing et al., 2024). Yet these lines of work typically stop short of a unified, deterministic, governance-aware successor-state semantics for semantic digital twin automation over RDF graphs.</w:t>
      </w:r>
    </w:p>
    <w:p w14:paraId="4EB9B806" w14:textId="77777777" w:rsidR="00D07B66" w:rsidRDefault="00000000">
      <w:pPr>
        <w:pStyle w:val="Heading3"/>
      </w:pPr>
      <w:bookmarkStart w:id="6" w:name="scope-and-positioning"/>
      <w:bookmarkEnd w:id="5"/>
      <w:r>
        <w:lastRenderedPageBreak/>
        <w:t>Scope and positioning</w:t>
      </w:r>
    </w:p>
    <w:p w14:paraId="45D5A6B4" w14:textId="77777777" w:rsidR="00D07B66" w:rsidRDefault="00000000">
      <w:pPr>
        <w:pStyle w:val="FirstParagraph"/>
      </w:pPr>
      <w:r>
        <w:t>This paper does not claim that ECA semantics for RDF does not exist. Prior work has proposed ECA languages and execution semantics for RDF repositories, including transactional considerations and analyses of termination and confluence (Papamarkos et al., 2006). Likewise, formal accounts exist for SPARQL query semantics (Pérez et al., 2009) and for update semantics resembling SPARQL Update (Horne et al., 2011), as well as provenance models for SPARQL updates (Halpin &amp; Cheney, 2014). Our contribution is positioned as the unified combination, within a semantic digital twin automation setting, of:</w:t>
      </w:r>
    </w:p>
    <w:p w14:paraId="30693024" w14:textId="77777777" w:rsidR="00D07B66" w:rsidRDefault="00000000">
      <w:pPr>
        <w:pStyle w:val="Compact"/>
        <w:numPr>
          <w:ilvl w:val="0"/>
          <w:numId w:val="2"/>
        </w:numPr>
      </w:pPr>
      <w:r>
        <w:t>deterministic concurrent scheduling that is rule-instance aware and traceable,</w:t>
      </w:r>
    </w:p>
    <w:p w14:paraId="4E68AC5E" w14:textId="77777777" w:rsidR="00D07B66" w:rsidRDefault="00000000">
      <w:pPr>
        <w:pStyle w:val="Compact"/>
        <w:numPr>
          <w:ilvl w:val="0"/>
          <w:numId w:val="2"/>
        </w:numPr>
      </w:pPr>
      <w:r>
        <w:t>admissibility-based conflict-safe runtime resolution defined over action sets,</w:t>
      </w:r>
    </w:p>
    <w:p w14:paraId="20A98371" w14:textId="77777777" w:rsidR="00D07B66" w:rsidRDefault="00000000">
      <w:pPr>
        <w:pStyle w:val="Compact"/>
        <w:numPr>
          <w:ilvl w:val="0"/>
          <w:numId w:val="2"/>
        </w:numPr>
      </w:pPr>
      <w:r>
        <w:t>explicit successor-state semantics for evolving RDF knowledge graph state,</w:t>
      </w:r>
    </w:p>
    <w:p w14:paraId="2224521B" w14:textId="77777777" w:rsidR="00D07B66" w:rsidRDefault="00000000">
      <w:pPr>
        <w:pStyle w:val="Compact"/>
        <w:numPr>
          <w:ilvl w:val="0"/>
          <w:numId w:val="2"/>
        </w:numPr>
      </w:pPr>
      <w:r>
        <w:t>governance integrated into execution meaning rather than treated as an external filter, and</w:t>
      </w:r>
    </w:p>
    <w:p w14:paraId="666E974B" w14:textId="77777777" w:rsidR="00D07B66" w:rsidRDefault="00000000">
      <w:pPr>
        <w:pStyle w:val="Compact"/>
        <w:numPr>
          <w:ilvl w:val="0"/>
          <w:numId w:val="2"/>
        </w:numPr>
      </w:pPr>
      <w:r>
        <w:t>a transition trace semantics that supports audit reconstruction.</w:t>
      </w:r>
    </w:p>
    <w:p w14:paraId="3BAF0F02" w14:textId="77777777" w:rsidR="00D07B66" w:rsidRDefault="00000000">
      <w:pPr>
        <w:pStyle w:val="FirstParagraph"/>
      </w:pPr>
      <w:r>
        <w:t>The novelty claim is therefore integrative: individual mechanisms have precedents, but their principled composition into a single execution semantics targeting semantic digital twin automation over evolving RDF state remains insufficiently specified in the current literature.</w:t>
      </w:r>
    </w:p>
    <w:p w14:paraId="45DF95BF" w14:textId="77777777" w:rsidR="00D07B66" w:rsidRDefault="00000000">
      <w:pPr>
        <w:pStyle w:val="Heading2"/>
      </w:pPr>
      <w:bookmarkStart w:id="7" w:name="problem-statement"/>
      <w:bookmarkEnd w:id="3"/>
      <w:bookmarkEnd w:id="6"/>
      <w:r>
        <w:t>Problem Statement</w:t>
      </w:r>
    </w:p>
    <w:p w14:paraId="2D8087F2" w14:textId="77777777" w:rsidR="00D07B66" w:rsidRDefault="00000000">
      <w:pPr>
        <w:pStyle w:val="FirstParagraph"/>
      </w:pPr>
      <w:r>
        <w:t>Semantic digital twins increasingly rely on rule-based automation over RDF knowledge graphs and continuous event streams to support autonomous or semi-autonomous control (Donkers et al., 2024; Guittoum et al., 2023; Pereira et al., 2025). However, existing approaches typically separate (i) stream/event interpretation semantics, (ii) rule triggering and firing semantics, (iii) RDF update semantics, (iv) conflict detection mechanisms, and (v) access control and governance enforcement (Dell’Aglio et al., 2014; Paton &amp; Díaz, 1999; Papamarkos et al., 2006; Kirrane et al., 2017). As a result, the same initial graph state and event history can yield different enacted updates depending on implementation-specific choices, and it remains unclear under which conditions semantic twin automation is reproducible, conflict-safe, and accountable.</w:t>
      </w:r>
    </w:p>
    <w:p w14:paraId="36EC144C" w14:textId="77777777" w:rsidR="00D07B66" w:rsidRDefault="00000000">
      <w:pPr>
        <w:pStyle w:val="Heading2"/>
      </w:pPr>
      <w:bookmarkStart w:id="8" w:name="research-question"/>
      <w:bookmarkEnd w:id="7"/>
      <w:r>
        <w:t>Research Question</w:t>
      </w:r>
    </w:p>
    <w:p w14:paraId="19D38918" w14:textId="77777777" w:rsidR="00D07B66" w:rsidRDefault="00000000">
      <w:pPr>
        <w:pStyle w:val="FirstParagraph"/>
      </w:pPr>
      <w:r>
        <w:t>How can rule-based automation in semantic digital twins be given a unified successor-state execution semantics over evolving RDF knowledge graph state that:</w:t>
      </w:r>
    </w:p>
    <w:p w14:paraId="6CBCD0E1" w14:textId="326B84DE" w:rsidR="00530887" w:rsidRPr="00530887" w:rsidRDefault="00530887" w:rsidP="00530887">
      <w:pPr>
        <w:rPr>
          <w:lang w:val="en-150"/>
        </w:rPr>
      </w:pPr>
      <w:bookmarkStart w:id="9" w:name="contributions"/>
      <w:bookmarkEnd w:id="8"/>
      <w:r w:rsidRPr="00530887">
        <w:rPr>
          <w:b/>
          <w:bCs/>
          <w:lang w:val="en-150"/>
        </w:rPr>
        <w:t>RQ1</w:t>
      </w:r>
      <w:r w:rsidRPr="00530887">
        <w:rPr>
          <w:lang w:val="en-150"/>
        </w:rPr>
        <w:t>: Does deterministic total ordering eliminate schedule-induced nondeterminism?</w:t>
      </w:r>
    </w:p>
    <w:p w14:paraId="22A6428C" w14:textId="49132DDB" w:rsidR="00530887" w:rsidRPr="00530887" w:rsidRDefault="00530887" w:rsidP="00530887">
      <w:pPr>
        <w:rPr>
          <w:lang w:val="en-150"/>
        </w:rPr>
      </w:pPr>
      <w:r w:rsidRPr="00530887">
        <w:rPr>
          <w:b/>
          <w:bCs/>
          <w:lang w:val="en-150"/>
        </w:rPr>
        <w:t>RQ2</w:t>
      </w:r>
      <w:r w:rsidRPr="00530887">
        <w:rPr>
          <w:lang w:val="en-150"/>
        </w:rPr>
        <w:t>: Does admissibility checking prevent invalid successor states?</w:t>
      </w:r>
    </w:p>
    <w:p w14:paraId="5F53C39C" w14:textId="7FD2F3D6" w:rsidR="00530887" w:rsidRPr="00530887" w:rsidRDefault="00530887" w:rsidP="00530887">
      <w:pPr>
        <w:rPr>
          <w:lang w:val="en-150"/>
        </w:rPr>
      </w:pPr>
      <w:r w:rsidRPr="00530887">
        <w:rPr>
          <w:b/>
          <w:bCs/>
          <w:lang w:val="en-150"/>
        </w:rPr>
        <w:lastRenderedPageBreak/>
        <w:t>RQ3</w:t>
      </w:r>
      <w:r w:rsidRPr="00530887">
        <w:rPr>
          <w:lang w:val="en-150"/>
        </w:rPr>
        <w:t>: Does governance precedence produce policy-consistent outcomes under conflicting actions?</w:t>
      </w:r>
    </w:p>
    <w:p w14:paraId="2B840DD7" w14:textId="5AE14B4E" w:rsidR="00530887" w:rsidRPr="00530887" w:rsidRDefault="00530887" w:rsidP="00530887">
      <w:pPr>
        <w:rPr>
          <w:lang w:val="en-150"/>
        </w:rPr>
      </w:pPr>
      <w:r w:rsidRPr="00530887">
        <w:rPr>
          <w:b/>
          <w:bCs/>
          <w:lang w:val="en-150"/>
        </w:rPr>
        <w:t>RQ4</w:t>
      </w:r>
      <w:r w:rsidRPr="00530887">
        <w:rPr>
          <w:lang w:val="en-150"/>
        </w:rPr>
        <w:t>: Is the recorded trace sufficient for replay and audit?</w:t>
      </w:r>
    </w:p>
    <w:p w14:paraId="0413C69A" w14:textId="1012E534" w:rsidR="00530887" w:rsidRPr="00530887" w:rsidRDefault="00530887" w:rsidP="00530887">
      <w:pPr>
        <w:rPr>
          <w:lang w:val="en-150"/>
        </w:rPr>
      </w:pPr>
      <w:r w:rsidRPr="00530887">
        <w:rPr>
          <w:b/>
          <w:bCs/>
          <w:lang w:val="en-150"/>
        </w:rPr>
        <w:t>RQ5</w:t>
      </w:r>
      <w:r w:rsidRPr="00530887">
        <w:rPr>
          <w:lang w:val="en-150"/>
        </w:rPr>
        <w:t>: How does resolution cost scale with the number of distinct enabled action instances?</w:t>
      </w:r>
    </w:p>
    <w:p w14:paraId="2123E901" w14:textId="77777777" w:rsidR="00D07B66" w:rsidRDefault="00000000">
      <w:pPr>
        <w:pStyle w:val="Heading2"/>
      </w:pPr>
      <w:r>
        <w:t>Contributions</w:t>
      </w:r>
    </w:p>
    <w:p w14:paraId="79AE8C19" w14:textId="77777777" w:rsidR="00D07B66" w:rsidRDefault="00000000">
      <w:pPr>
        <w:pStyle w:val="FirstParagraph"/>
      </w:pPr>
      <w:r>
        <w:t>This paper makes the following contributions, framed to be precise and defensible relative to prior work:</w:t>
      </w:r>
    </w:p>
    <w:p w14:paraId="384198E3" w14:textId="77777777" w:rsidR="00D07B66" w:rsidRDefault="00000000">
      <w:pPr>
        <w:pStyle w:val="Compact"/>
        <w:numPr>
          <w:ilvl w:val="0"/>
          <w:numId w:val="4"/>
        </w:numPr>
      </w:pPr>
      <w:r>
        <w:rPr>
          <w:b/>
          <w:bCs/>
        </w:rPr>
        <w:t>Unified successor-state execution semantics.</w:t>
      </w:r>
      <w:r>
        <w:t xml:space="preserve"> We define an abstract transition system for ECA automation over RDF graph state driven by event windows, producing a successor graph and a transition trace at each step, grounded in established semantics for SPARQL pattern matching and RDF updates (Pérez et al., 2009; Horne et al., 2011).</w:t>
      </w:r>
    </w:p>
    <w:p w14:paraId="47931568" w14:textId="77777777" w:rsidR="00D07B66" w:rsidRDefault="00000000">
      <w:pPr>
        <w:pStyle w:val="Compact"/>
        <w:numPr>
          <w:ilvl w:val="0"/>
          <w:numId w:val="4"/>
        </w:numPr>
      </w:pPr>
      <w:r>
        <w:rPr>
          <w:b/>
          <w:bCs/>
        </w:rPr>
        <w:t>Rule-instance-aware determinism under concurrency.</w:t>
      </w:r>
      <w:r>
        <w:t xml:space="preserve"> We define action instances with explicit provenance and a deterministic scheduling order that remains well-defined even when distinct rule instances construct identical action payloads.</w:t>
      </w:r>
    </w:p>
    <w:p w14:paraId="70A9018F" w14:textId="77777777" w:rsidR="00D07B66" w:rsidRDefault="00000000">
      <w:pPr>
        <w:pStyle w:val="Compact"/>
        <w:numPr>
          <w:ilvl w:val="0"/>
          <w:numId w:val="4"/>
        </w:numPr>
      </w:pPr>
      <w:r>
        <w:rPr>
          <w:b/>
          <w:bCs/>
        </w:rPr>
        <w:t>Admissibility-based conflict-safe runtime resolution.</w:t>
      </w:r>
      <w:r>
        <w:t xml:space="preserve"> We make admissibility over action sets primary, and define conflict checks and a deterministic resolver in terms of safety and governance invariants validated on candidate successor states, drawing on formal SHACL validation semantics and work on constraint checking under recursion and ontological background knowledge (Corman et al., 2018; Oudshoorn et al., 2026).</w:t>
      </w:r>
    </w:p>
    <w:p w14:paraId="1EADAF6E" w14:textId="77777777" w:rsidR="00D07B66" w:rsidRDefault="00000000">
      <w:pPr>
        <w:pStyle w:val="Compact"/>
        <w:numPr>
          <w:ilvl w:val="0"/>
          <w:numId w:val="4"/>
        </w:numPr>
      </w:pPr>
      <w:r>
        <w:rPr>
          <w:b/>
          <w:bCs/>
        </w:rPr>
        <w:t>Governance integrated into execution meaning.</w:t>
      </w:r>
      <w:r>
        <w:t xml:space="preserve"> We model governance as a semantic component that constrains enablement, affects deterministic ordering through role precedence, and participates in admissibility checks, grounded in RBAC and RDF access control literature (Sandhu et al., 1996; Flouris et al., 2010; Gabillon &amp; Letouzey, 2010; Kirrane et al., 2017).</w:t>
      </w:r>
    </w:p>
    <w:p w14:paraId="082FD8C5" w14:textId="6C8C9838" w:rsidR="00D07B66" w:rsidRDefault="00000000">
      <w:pPr>
        <w:pStyle w:val="Compact"/>
        <w:numPr>
          <w:ilvl w:val="0"/>
          <w:numId w:val="4"/>
        </w:numPr>
      </w:pPr>
      <w:r>
        <w:rPr>
          <w:b/>
          <w:bCs/>
        </w:rPr>
        <w:t>Trace-based accountability semantics.</w:t>
      </w:r>
      <w:r>
        <w:t xml:space="preserve"> </w:t>
      </w:r>
      <w:r w:rsidR="008347D7" w:rsidRPr="008347D7">
        <w:t>We define a transition trace structure that supports audit inspection and replay-based reproducibility under fixed inputs and semantics, informed by provenance work for SPARQL updates (Halpin &amp; Cheney, 2014).</w:t>
      </w:r>
    </w:p>
    <w:p w14:paraId="2E9BADD2" w14:textId="77777777" w:rsidR="00D07B66" w:rsidRDefault="00000000">
      <w:pPr>
        <w:pStyle w:val="Heading2"/>
      </w:pPr>
      <w:bookmarkStart w:id="10" w:name="related-work"/>
      <w:bookmarkEnd w:id="9"/>
      <w:r>
        <w:t>Related Work</w:t>
      </w:r>
    </w:p>
    <w:p w14:paraId="25682A3B" w14:textId="77777777" w:rsidR="00D07B66" w:rsidRDefault="00000000">
      <w:pPr>
        <w:pStyle w:val="Heading3"/>
      </w:pPr>
      <w:bookmarkStart w:id="11" w:name="X1e723db8bcfb40f2077250eecd7c749ea33df93"/>
      <w:r>
        <w:t>Stream reasoning and RDF stream processing: strong derivation semantics, limited enactment semantics</w:t>
      </w:r>
    </w:p>
    <w:p w14:paraId="2828E437" w14:textId="77777777" w:rsidR="00D07B66" w:rsidRDefault="00000000">
      <w:pPr>
        <w:pStyle w:val="FirstParagraph"/>
      </w:pPr>
      <w:r>
        <w:t xml:space="preserve">Stream reasoning and RDF stream processing provide mature accounts of how to interpret time-varying data and evaluate continuous queries. Several languages and systems have </w:t>
      </w:r>
      <w:r>
        <w:lastRenderedPageBreak/>
        <w:t>formal semantics for streams and windows, including CQL and its operator model (Arasu et al., 2006), SECRET’s characterization of window execution semantics (Botan et al., 2010), and RDF stream processing frameworks such as C-SPARQL and CQELS (Barbieri et al., 2010; Le-Phuoc et al., 2011). The RSP-QL model explicitly aims to unify RDF stream processing behavior and explain heterogeneity across engines by making otherwise hidden assumptions explicit (Dell’Aglio et al., 2014). Correctness and benchmarking work shows that different operational semantics choices can legitimately yield different results, and comparative studies confirm persistent heterogeneity in practice (Dell’Aglio et al., 2013; Schneider et al., 2022; Gruber &amp; Glimm, 2023).</w:t>
      </w:r>
    </w:p>
    <w:p w14:paraId="43C7D019" w14:textId="77777777" w:rsidR="00D07B66" w:rsidRDefault="00000000">
      <w:pPr>
        <w:pStyle w:val="BodyText"/>
      </w:pPr>
      <w:r>
        <w:t>These contributions are essential foundations, but they primarily formalize derivation: what query answers or inferred conclusions are produced at time points under certain stream semantics. They do not, as a central objective, define deterministic enactment semantics for side-effecting automation over mutable RDF state. Specifically, they generally do not provide a successor-state model that determines how inferred conditions are committed into RDF graph updates, in what order concurrent actions are applied, and how conflicts and governance constraints influence runtime selection.</w:t>
      </w:r>
    </w:p>
    <w:p w14:paraId="638718CF" w14:textId="77777777" w:rsidR="00D07B66" w:rsidRDefault="00000000">
      <w:pPr>
        <w:pStyle w:val="Heading3"/>
      </w:pPr>
      <w:bookmarkStart w:id="12" w:name="Xe4368a0dbab51cb2a29cb8cbe6cfe825f6f99e0"/>
      <w:bookmarkEnd w:id="11"/>
      <w:r>
        <w:t>Active databases and reactive rule systems: execution is semantic, but not RDF-twin-specific</w:t>
      </w:r>
    </w:p>
    <w:p w14:paraId="50CFB336" w14:textId="77777777" w:rsidR="00D07B66" w:rsidRDefault="00000000">
      <w:pPr>
        <w:pStyle w:val="FirstParagraph"/>
      </w:pPr>
      <w:r>
        <w:t>Active database research established that rule firing semantics (event detection, condition evaluation, action execution), coupling modes, and transactional boundaries are integral to correctness, not merely engineering choices (Paton &amp; Díaz, 1999). This literature provides conceptual and formal tools for reasoning about triggers and active rules, including the idea that execution ordering and concurrency control fundamentally shape behavior.</w:t>
      </w:r>
    </w:p>
    <w:p w14:paraId="4B1AFBAE" w14:textId="77777777" w:rsidR="00D07B66" w:rsidRDefault="00000000">
      <w:pPr>
        <w:pStyle w:val="BodyText"/>
      </w:pPr>
      <w:r>
        <w:t>For RDF and Semantic Web contexts, reactive and active rule frameworks have been proposed. In particular, ECA rules have been studied for RDF repositories with an explicit execution semantics, including discussions of termination, confluence, and transactional behavior in distributed settings (Papamarkos et al., 2006). These works demonstrate that ECA semantics for RDF is feasible and meaningful. However, they do not target the semantic digital twin setting where event windows and stream-derived conditions interact with evolving twin state, nor do they integrate governance as a first-class semantic component shaping enablement, precedence, admissibility, and accountability traces. Our work builds on the insight that execution semantics matters, and contributes a unified successor-state semantics oriented toward semantic digital twin automation and its governance and audit requirements.</w:t>
      </w:r>
    </w:p>
    <w:p w14:paraId="65360C9D" w14:textId="77777777" w:rsidR="00D07B66" w:rsidRDefault="00000000">
      <w:pPr>
        <w:pStyle w:val="Heading3"/>
      </w:pPr>
      <w:bookmarkStart w:id="13" w:name="X6c7d7646c6550179c6dd0b1009a2c93a1c40ac4"/>
      <w:bookmarkEnd w:id="12"/>
      <w:r>
        <w:t>RDF updates and provenance: formal updates exist, but automation-level determinism and governance are separate</w:t>
      </w:r>
    </w:p>
    <w:p w14:paraId="658ECB09" w14:textId="77777777" w:rsidR="00D07B66" w:rsidRDefault="00000000">
      <w:pPr>
        <w:pStyle w:val="FirstParagraph"/>
      </w:pPr>
      <w:r>
        <w:t xml:space="preserve">SPARQL query evaluation has a well-developed formal semantics (Pérez et al., 2009). For updates, operational semantics for an RDF update language modeling core features of </w:t>
      </w:r>
      <w:r>
        <w:lastRenderedPageBreak/>
        <w:t>SPARQL Update have been proposed (Horne et al., 2011). Provenance for SPARQL updates and dynamic change histories have also been formalized, connecting update semantics with traceable records of graph evolution (Halpin &amp; Cheney, 2014). These lines of work support the “state transition” component of our thesis: RDF stores can be modeled operationally and their evolution can be traced.</w:t>
      </w:r>
    </w:p>
    <w:p w14:paraId="320FF69B" w14:textId="77777777" w:rsidR="00D07B66" w:rsidRDefault="00000000">
      <w:pPr>
        <w:pStyle w:val="BodyText"/>
      </w:pPr>
      <w:r>
        <w:t>What remains under-specified for semantic digital twin automation is how to lift update semantics to an ECA automation semantics that is (i) deterministic under concurrent rule-instance activation, (ii) conflict-safe via runtime admissibility, and (iii) governance-aware in a way that changes execution meaning rather than being an external post-check.</w:t>
      </w:r>
    </w:p>
    <w:p w14:paraId="29746616" w14:textId="77777777" w:rsidR="00D07B66" w:rsidRDefault="00000000">
      <w:pPr>
        <w:pStyle w:val="Heading3"/>
      </w:pPr>
      <w:bookmarkStart w:id="14" w:name="X105b0544eb7eb670eb0dd6cad022d5bec96e9c6"/>
      <w:bookmarkEnd w:id="13"/>
      <w:r>
        <w:t>Trigger-action programming and conflict detection: rich conflict taxonomies, limited runtime semantics</w:t>
      </w:r>
    </w:p>
    <w:p w14:paraId="717D224C" w14:textId="77777777" w:rsidR="00D07B66" w:rsidRDefault="00000000">
      <w:pPr>
        <w:pStyle w:val="FirstParagraph"/>
      </w:pPr>
      <w:r>
        <w:t>In IoT automation, trigger-action programming is well known to suffer from conflicts and unintended interactions in realistic deployments, motivating large-scale empirical studies and security-focused surveys (Ur et al., 2014; Ur et al., 2016; Chen et al., 2022). Recent work proposes conflict analysis and detection tools such as SMT-based reasoning for trigger-action programs and learned conflict detection approaches (Chen et al., 2024; Xing et al., 2024). This literature provides valuable conflict taxonomies and highlights the practical importance of conflict handling.</w:t>
      </w:r>
    </w:p>
    <w:p w14:paraId="6899A250" w14:textId="77777777" w:rsidR="00D07B66" w:rsidRDefault="00000000">
      <w:pPr>
        <w:pStyle w:val="BodyText"/>
      </w:pPr>
      <w:r>
        <w:t>However, the primary contribution of these systems is typically conflict detection (static or predictive) rather than a formally defined, deterministic runtime semantics that commits a unique admissible action set under concurrency over an evolving RDF knowledge graph state. In addition, governance is usually handled as a platform or application policy layer rather than being integrated into the formal execution meaning of rule enablement, precedence, admissibility, and trace reconstruction.</w:t>
      </w:r>
    </w:p>
    <w:p w14:paraId="68F4B5B2" w14:textId="77777777" w:rsidR="00D07B66" w:rsidRDefault="00000000">
      <w:pPr>
        <w:pStyle w:val="Heading3"/>
      </w:pPr>
      <w:bookmarkStart w:id="15" w:name="Xa3b99382018c250c71973e5666fc137c36695ee"/>
      <w:bookmarkEnd w:id="14"/>
      <w:r>
        <w:t>Governance and validation over RDF: strong models, rarely integrated into ECA enactment semantics</w:t>
      </w:r>
    </w:p>
    <w:p w14:paraId="0EEB5751" w14:textId="77777777" w:rsidR="00D07B66" w:rsidRDefault="00000000">
      <w:pPr>
        <w:pStyle w:val="FirstParagraph"/>
      </w:pPr>
      <w:r>
        <w:t>Access control and governance for RDF have been widely studied, including surveys of models and enforcement strategies (Kirrane et al., 2017), fine-grained access control mechanisms for RDF graphs (Flouris et al., 2010), view-based SPARQL access control (Gabillon &amp; Letouzey, 2010), and context-aware RDF store authorization (Costabello et al., 2012). Separately, graph validation languages and semantics, including recursive SHACL semantics, provide rigorous grounding for constraint checking over RDF graphs (Corman et al., 2018). More recent work studies the semantic interaction between SHACL validation and ontological reasoning, clarifying the open-world versus closed-world gap and its computational consequences (Oudshoorn et al., 2026).</w:t>
      </w:r>
    </w:p>
    <w:p w14:paraId="7581763F" w14:textId="77777777" w:rsidR="00D07B66" w:rsidRDefault="00000000">
      <w:pPr>
        <w:pStyle w:val="BodyText"/>
      </w:pPr>
      <w:r>
        <w:t xml:space="preserve">These strands offer strong building blocks for governance and invariant checking, but they do not usually define governance constraints as constitutive elements of ECA enactment semantics that determine which actions are enabled, how they are ordered, and which </w:t>
      </w:r>
      <w:r>
        <w:lastRenderedPageBreak/>
        <w:t>action sets are admissible at runtime under concurrency in a semantic digital twin control loop.</w:t>
      </w:r>
    </w:p>
    <w:p w14:paraId="02A23518" w14:textId="77777777" w:rsidR="00D07B66" w:rsidRDefault="00000000">
      <w:pPr>
        <w:pStyle w:val="Heading3"/>
      </w:pPr>
      <w:bookmarkStart w:id="16" w:name="synthesis-and-gap"/>
      <w:bookmarkEnd w:id="15"/>
      <w:r>
        <w:t>Synthesis and gap</w:t>
      </w:r>
    </w:p>
    <w:p w14:paraId="23DB83E8" w14:textId="77777777" w:rsidR="00D07B66" w:rsidRDefault="00000000">
      <w:pPr>
        <w:pStyle w:val="FirstParagraph"/>
      </w:pPr>
      <w:r>
        <w:t>Across these strands, the literature provides formal semantics for streams and windows, reactive rule execution, RDF updates, access control, and graph validation. Yet a unified execution semantics for semantic digital twin automation that jointly ensures deterministic enactment under concurrency, conflict-safe admissibility-based resolution, governance integrated into execution meaning, and traceable justification over evolving RDF state remains insufficiently specified. This paper addresses that integrative gap.</w:t>
      </w:r>
    </w:p>
    <w:p w14:paraId="376018E0" w14:textId="77777777" w:rsidR="00D07B66" w:rsidRDefault="00000000">
      <w:pPr>
        <w:pStyle w:val="Heading2"/>
      </w:pPr>
      <w:bookmarkStart w:id="17" w:name="formal-model-and-execution-semantics"/>
      <w:bookmarkEnd w:id="10"/>
      <w:bookmarkEnd w:id="16"/>
      <w:r>
        <w:t>Formal Model and Execution Semantics</w:t>
      </w:r>
    </w:p>
    <w:p w14:paraId="7CA71FB0" w14:textId="77777777" w:rsidR="00D07B66" w:rsidRDefault="00000000">
      <w:pPr>
        <w:pStyle w:val="Heading3"/>
      </w:pPr>
      <w:bookmarkStart w:id="18" w:name="semantic-substrate-and-assumptions"/>
      <w:r>
        <w:t>Semantic substrate and assumptions</w:t>
      </w:r>
    </w:p>
    <w:p w14:paraId="3277ACBB" w14:textId="77777777" w:rsidR="00D07B66" w:rsidRDefault="00000000">
      <w:pPr>
        <w:pStyle w:val="Heading4"/>
      </w:pPr>
      <w:bookmarkStart w:id="19" w:name="graph-state"/>
      <w:r>
        <w:t>Graph state</w:t>
      </w:r>
    </w:p>
    <w:p w14:paraId="342A5D46" w14:textId="77777777" w:rsidR="00D07B66" w:rsidRDefault="00000000">
      <w:pPr>
        <w:pStyle w:val="FirstParagraph"/>
      </w:pPr>
      <w:r>
        <w:t>Let $\mathcal{G}$ denote the set of finite RDF knowledge graph states (treated abstractly as RDF datasets). At evaluation point $t$, the twin state is $G_t \in \mathcal{G}$.</w:t>
      </w:r>
    </w:p>
    <w:p w14:paraId="58490A04" w14:textId="77777777" w:rsidR="00D07B66" w:rsidRDefault="00000000">
      <w:pPr>
        <w:pStyle w:val="Heading4"/>
      </w:pPr>
      <w:bookmarkStart w:id="20" w:name="conditions-and-entailment"/>
      <w:bookmarkEnd w:id="19"/>
      <w:r>
        <w:t>Conditions and entailment</w:t>
      </w:r>
    </w:p>
    <w:p w14:paraId="05120F27" w14:textId="77777777" w:rsidR="00D07B66" w:rsidRDefault="00000000">
      <w:pPr>
        <w:pStyle w:val="FirstParagraph"/>
      </w:pPr>
      <w:r>
        <w:t>Let $\models_{\mathcal{E}}$ denote a fixed, deterministic satisfaction relation for evaluating graph-state conditions against $G_t$, parameterized by an entailment/evaluation regime $\mathcal{E}$. Concretely, $G_t \models_{\mathcal{E}} Q^\theta$ is intended to capture SPARQL-style graph pattern matching under a precise evaluation semantics (Pérez et al., 2009). The regime is assumed fixed across executions, which is necessary for determinism. If additional ontological reasoning is used, it must be part of $\mathcal{E}$ and remain deterministic.</w:t>
      </w:r>
    </w:p>
    <w:p w14:paraId="20DBFA86" w14:textId="77777777" w:rsidR="00D07B66" w:rsidRDefault="00000000">
      <w:pPr>
        <w:pStyle w:val="Heading4"/>
      </w:pPr>
      <w:bookmarkStart w:id="21" w:name="constraints-and-validation"/>
      <w:bookmarkEnd w:id="20"/>
      <w:r>
        <w:t>Constraints and validation</w:t>
      </w:r>
    </w:p>
    <w:p w14:paraId="3226B8BA" w14:textId="77777777" w:rsidR="00D07B66" w:rsidRDefault="00000000">
      <w:pPr>
        <w:pStyle w:val="FirstParagraph"/>
      </w:pPr>
      <w:r>
        <w:t>Safety and governance constraints are treated as validation predicates over candidate successor states. We assume a deterministic validation semantics, such as the formally defined semantics for recursive SHACL constraints, and note that validation is typically closed-world and non-monotonic relative to open-world ontological reasoning (Corman et al., 2018; Oudshoorn et al., 2026). This distinction is explicit in our model: inference-oriented entailment (for rule conditions) and constraint validation (for admissibility) are separate semantic components that must both be fixed for determinism.</w:t>
      </w:r>
    </w:p>
    <w:p w14:paraId="12898D71" w14:textId="77777777" w:rsidR="00D07B66" w:rsidRDefault="00000000">
      <w:pPr>
        <w:pStyle w:val="Heading4"/>
      </w:pPr>
      <w:bookmarkStart w:id="22" w:name="events-windows-and-evaluation-points"/>
      <w:bookmarkEnd w:id="21"/>
      <w:r>
        <w:t>Events, windows, and evaluation points</w:t>
      </w:r>
    </w:p>
    <w:p w14:paraId="4203E1AC" w14:textId="77777777" w:rsidR="00D07B66" w:rsidRDefault="00000000">
      <w:pPr>
        <w:pStyle w:val="FirstParagraph"/>
      </w:pPr>
      <w:r>
        <w:t xml:space="preserve">Let $\mathcal{E!v}$ be the set of events. Each event is a tuple $e = (\mathit{eid}, \mathit{ts}, \mathit{payload})$, where $\mathit{eid}$ is a stable event identifier, $\mathit{ts}$ is a timestamp, and $\mathit{payload}$ is event content (e.g., RDF triples describing observations). Events form a stream $S$ (a time-ordered sequence). Windowing is defined by a deterministic window function $\mathit{Win}$, grounded in established </w:t>
      </w:r>
      <w:r>
        <w:lastRenderedPageBreak/>
        <w:t>stream/window semantics (Arasu et al., 2006; Botan et al., 2010; Dell’Aglio et al., 2014). At evaluation point $t$, the event segment is:</w:t>
      </w:r>
    </w:p>
    <w:p w14:paraId="29F5511D" w14:textId="77777777" w:rsidR="00D07B66"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Win</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e>
          </m:d>
          <m:r>
            <m:rPr>
              <m:sty m:val="p"/>
            </m:rPr>
            <w:rPr>
              <w:rFonts w:ascii="Cambria Math" w:hAnsi="Cambria Math"/>
            </w:rPr>
            <m:t>.</m:t>
          </m:r>
        </m:oMath>
      </m:oMathPara>
    </w:p>
    <w:p w14:paraId="43357FE8" w14:textId="77777777" w:rsidR="00D07B66" w:rsidRDefault="00000000">
      <w:pPr>
        <w:pStyle w:val="FirstParagraph"/>
      </w:pPr>
      <w:r>
        <w:t>The choice of $\mathit{Win}$ is part of the semantics, and must be fixed to ensure reproducibility (Dell’Aglio et al., 2013; Dell’Aglio et al., 2014).</w:t>
      </w:r>
    </w:p>
    <w:p w14:paraId="7678ADDC" w14:textId="77777777" w:rsidR="00D07B66" w:rsidRDefault="00000000">
      <w:pPr>
        <w:pStyle w:val="Heading4"/>
      </w:pPr>
      <w:bookmarkStart w:id="23" w:name="role-context"/>
      <w:bookmarkEnd w:id="22"/>
      <w:r>
        <w:t>Role context</w:t>
      </w:r>
    </w:p>
    <w:p w14:paraId="0EB2D52C" w14:textId="77777777" w:rsidR="00D07B66" w:rsidRDefault="00000000">
      <w:pPr>
        <w:pStyle w:val="FirstParagraph"/>
      </w:pPr>
      <w:r>
        <w:t>Let $\mathcal{C}$ be the set of role contexts. A role context $C_t \in \mathcal{C}$ captures the actor/principal initiating or authorizing automation at $t$, the active roles, and a deterministic role precedence relation. Governance is modeled explicitly and will influence enablement, ordering, admissibility, and trace obligations (Sandhu et al., 1996; Kirrane et al., 2017).</w:t>
      </w:r>
    </w:p>
    <w:p w14:paraId="7DA8C362" w14:textId="77777777" w:rsidR="00D07B66" w:rsidRDefault="00000000">
      <w:pPr>
        <w:pStyle w:val="Heading3"/>
      </w:pPr>
      <w:bookmarkStart w:id="24" w:name="Xde7133686e82e1eabe506ec284524253d7ffb5e"/>
      <w:bookmarkEnd w:id="18"/>
      <w:bookmarkEnd w:id="23"/>
      <w:r>
        <w:t>Rule model, enablement, and action instances</w:t>
      </w:r>
    </w:p>
    <w:p w14:paraId="4E5C94F7" w14:textId="77777777" w:rsidR="00D07B66" w:rsidRDefault="00000000">
      <w:pPr>
        <w:pStyle w:val="Heading4"/>
      </w:pPr>
      <w:bookmarkStart w:id="25" w:name="rules"/>
      <w:r>
        <w:t>Rules</w:t>
      </w:r>
    </w:p>
    <w:p w14:paraId="50CBA611" w14:textId="77777777" w:rsidR="00D07B66" w:rsidRDefault="00000000">
      <w:pPr>
        <w:pStyle w:val="FirstParagraph"/>
      </w:pPr>
      <w:r>
        <w:t>Let $R$ be a finite set of ECA rules. Each rule $r \in R$ has the form:</w:t>
      </w:r>
    </w:p>
    <w:p w14:paraId="2FAEA7F4" w14:textId="77777777" w:rsidR="00D07B66" w:rsidRDefault="00000000">
      <w:pPr>
        <w:pStyle w:val="BodyText"/>
      </w:pPr>
      <m:oMathPara>
        <m:oMathParaPr>
          <m:jc m:val="center"/>
        </m:oMathParaPr>
        <m:oMath>
          <m:r>
            <w:rPr>
              <w:rFonts w:ascii="Cambria Math" w:hAnsi="Cambria Math"/>
            </w:rPr>
            <m:t>r</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rid</m:t>
                  </m:r>
                </m:e>
                <m:sub>
                  <m:r>
                    <w:rPr>
                      <w:rFonts w:ascii="Cambria Math" w:hAnsi="Cambria Math"/>
                    </w:rPr>
                    <m:t>r</m:t>
                  </m:r>
                </m:sub>
              </m:sSub>
            </m:e>
          </m:d>
          <m:r>
            <m:rPr>
              <m:sty m:val="p"/>
            </m:rPr>
            <w:rPr>
              <w:rFonts w:ascii="Cambria Math" w:hAnsi="Cambria Math"/>
            </w:rPr>
            <m:t>,</m:t>
          </m:r>
        </m:oMath>
      </m:oMathPara>
    </w:p>
    <w:p w14:paraId="5A6E03F2" w14:textId="77777777" w:rsidR="00D07B66" w:rsidRDefault="00000000">
      <w:pPr>
        <w:pStyle w:val="FirstParagraph"/>
      </w:pPr>
      <w:r>
        <w:t>where: - $E_r$ is an event predicate evaluated over $S_t$, - $Q_r$ is a graph-state condition evaluated over $G_t$, - $U_r$ is a governance/role admissibility condition evaluated over $C_t$, - $A_r$ is an action constructor, - $P_r$ is a priority class, - $\mathit{rid}_r$ is a stable rule identifier.</w:t>
      </w:r>
    </w:p>
    <w:p w14:paraId="499A3F9E" w14:textId="77777777" w:rsidR="00D07B66" w:rsidRDefault="00000000">
      <w:pPr>
        <w:pStyle w:val="BodyText"/>
      </w:pPr>
      <w:r>
        <w:t>This structure aligns with established ECA models in active systems, making explicit that execution semantics depends on event detection, condition evaluation, and action enactment (Paton &amp; Díaz, 1999; Papamarkos et al., 2006).</w:t>
      </w:r>
    </w:p>
    <w:p w14:paraId="3D876F09" w14:textId="77777777" w:rsidR="00D07B66" w:rsidRDefault="00000000">
      <w:pPr>
        <w:pStyle w:val="Heading4"/>
      </w:pPr>
      <w:bookmarkStart w:id="26" w:name="rule-instances-and-enablement"/>
      <w:bookmarkEnd w:id="25"/>
      <w:r>
        <w:t>Rule instances and enablement</w:t>
      </w:r>
    </w:p>
    <w:p w14:paraId="0FBB6F8F" w14:textId="77777777" w:rsidR="00D07B66" w:rsidRDefault="00000000">
      <w:pPr>
        <w:pStyle w:val="FirstParagraph"/>
      </w:pPr>
      <w:r>
        <w:t>Let $\theta$ be a variable binding for the variables of $r$. A rule instance is the pair $(r,\theta)$. Enablement is a semantic judgment:</w:t>
      </w:r>
    </w:p>
    <w:p w14:paraId="24B378C6" w14:textId="77777777" w:rsidR="00D07B66" w:rsidRDefault="00000000">
      <w:pPr>
        <w:pStyle w:val="BodyText"/>
      </w:pPr>
      <m:oMathPara>
        <m:oMathParaPr>
          <m:jc m:val="center"/>
        </m:oMathParaPr>
        <m:oMath>
          <m:sSub>
            <m:sSubPr>
              <m:ctrlPr>
                <w:rPr>
                  <w:rFonts w:ascii="Cambria Math" w:hAnsi="Cambria Math"/>
                </w:rPr>
              </m:ctrlPr>
            </m:sSubPr>
            <m:e>
              <m:r>
                <w:rPr>
                  <w:rFonts w:ascii="Cambria Math" w:hAnsi="Cambria Math"/>
                </w:rPr>
                <m:t>En</m:t>
              </m:r>
            </m:e>
            <m:sub>
              <m:r>
                <w:rPr>
                  <w:rFonts w:ascii="Cambria Math" w:hAnsi="Cambria Math"/>
                </w:rPr>
                <m:t>t</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θ</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r</m:t>
                  </m:r>
                </m:sub>
                <m:sup>
                  <m:r>
                    <w:rPr>
                      <w:rFonts w:ascii="Cambria Math" w:hAnsi="Cambria Math"/>
                    </w:rPr>
                    <m:t>θ</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E</m:t>
                  </m:r>
                </m:sub>
              </m:sSub>
              <m:sSubSup>
                <m:sSubSupPr>
                  <m:ctrlPr>
                    <w:rPr>
                      <w:rFonts w:ascii="Cambria Math" w:hAnsi="Cambria Math"/>
                    </w:rPr>
                  </m:ctrlPr>
                </m:sSubSupPr>
                <m:e>
                  <m:r>
                    <w:rPr>
                      <w:rFonts w:ascii="Cambria Math" w:hAnsi="Cambria Math"/>
                    </w:rPr>
                    <m:t>Q</m:t>
                  </m:r>
                </m:e>
                <m:sub>
                  <m:r>
                    <w:rPr>
                      <w:rFonts w:ascii="Cambria Math" w:hAnsi="Cambria Math"/>
                    </w:rPr>
                    <m:t>r</m:t>
                  </m:r>
                </m:sub>
                <m:sup>
                  <m:r>
                    <w:rPr>
                      <w:rFonts w:ascii="Cambria Math" w:hAnsi="Cambria Math"/>
                    </w:rPr>
                    <m:t>θ</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r</m:t>
                  </m:r>
                </m:sub>
                <m:sup>
                  <m:r>
                    <w:rPr>
                      <w:rFonts w:ascii="Cambria Math" w:hAnsi="Cambria Math"/>
                    </w:rPr>
                    <m:t>θ</m:t>
                  </m:r>
                </m:sup>
              </m:sSubSup>
            </m:e>
          </m:d>
          <m:r>
            <m:rPr>
              <m:sty m:val="p"/>
            </m:rPr>
            <w:rPr>
              <w:rFonts w:ascii="Cambria Math" w:hAnsi="Cambria Math"/>
            </w:rPr>
            <m:t>.</m:t>
          </m:r>
        </m:oMath>
      </m:oMathPara>
    </w:p>
    <w:p w14:paraId="142D03C6" w14:textId="77777777" w:rsidR="00D07B66" w:rsidRDefault="00000000">
      <w:pPr>
        <w:pStyle w:val="FirstParagraph"/>
      </w:pPr>
      <w:r>
        <w:t>Enablement explicitly depends on stream/window semantics, graph evaluation semantics, and governance semantics, all of which must be fixed for determinism.</w:t>
      </w:r>
    </w:p>
    <w:p w14:paraId="1DF66D1E" w14:textId="77777777" w:rsidR="00D07B66" w:rsidRDefault="00000000">
      <w:pPr>
        <w:pStyle w:val="Heading4"/>
      </w:pPr>
      <w:bookmarkStart w:id="27" w:name="action-instances-with-provenance"/>
      <w:bookmarkEnd w:id="26"/>
      <w:r>
        <w:t>Action instances with provenance</w:t>
      </w:r>
    </w:p>
    <w:p w14:paraId="11C4D57E" w14:textId="77777777" w:rsidR="00D07B66" w:rsidRDefault="00000000">
      <w:pPr>
        <w:pStyle w:val="FirstParagraph"/>
      </w:pPr>
      <w:r>
        <w:t>A core correction to the draft is to treat actions as instances with provenance, not as potentially collapsing payloads. Each enabled rule instance produces an action instance:</w:t>
      </w:r>
    </w:p>
    <w:p w14:paraId="473F0216" w14:textId="77777777" w:rsidR="00D07B66" w:rsidRDefault="00000000">
      <w:pPr>
        <w:pStyle w:val="BodyText"/>
      </w:pPr>
      <m:oMathPara>
        <m:oMathParaPr>
          <m:jc m:val="center"/>
        </m:oMathParaPr>
        <m:oMath>
          <m:r>
            <w:rPr>
              <w:rFonts w:ascii="Cambria Math" w:hAnsi="Cambria Math"/>
            </w:rPr>
            <m:t>α</m:t>
          </m:r>
          <m:r>
            <m:rPr>
              <m:sty m:val="p"/>
            </m:rPr>
            <w:rPr>
              <w:rFonts w:ascii="Cambria Math" w:hAnsi="Cambria Math"/>
            </w:rPr>
            <m:t>=</m:t>
          </m:r>
          <m:d>
            <m:dPr>
              <m:ctrlPr>
                <w:rPr>
                  <w:rFonts w:ascii="Cambria Math" w:hAnsi="Cambria Math"/>
                </w:rPr>
              </m:ctrlPr>
            </m:dPr>
            <m:e>
              <m:r>
                <w:rPr>
                  <w:rFonts w:ascii="Cambria Math" w:hAnsi="Cambria Math"/>
                </w:rPr>
                <m:t>aid</m:t>
              </m:r>
              <m:r>
                <m:rPr>
                  <m:sty m:val="p"/>
                </m:rPr>
                <w:rPr>
                  <w:rFonts w:ascii="Cambria Math" w:hAnsi="Cambria Math"/>
                </w:rPr>
                <m:t>,</m:t>
              </m:r>
              <m:sSub>
                <m:sSubPr>
                  <m:ctrlPr>
                    <w:rPr>
                      <w:rFonts w:ascii="Cambria Math" w:hAnsi="Cambria Math"/>
                    </w:rPr>
                  </m:ctrlPr>
                </m:sSubPr>
                <m:e>
                  <m:r>
                    <w:rPr>
                      <w:rFonts w:ascii="Cambria Math" w:hAnsi="Cambria Math"/>
                    </w:rPr>
                    <m:t>rid</m:t>
                  </m:r>
                </m:e>
                <m:sub>
                  <m:r>
                    <w:rPr>
                      <w:rFonts w:ascii="Cambria Math" w:hAnsi="Cambria Math"/>
                    </w:rPr>
                    <m:t>r</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winid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role</m:t>
                  </m:r>
                </m:e>
                <m:sub>
                  <m:r>
                    <w:rPr>
                      <w:rFonts w:ascii="Cambria Math" w:hAnsi="Cambria Math"/>
                    </w:rPr>
                    <m:t>t</m:t>
                  </m:r>
                </m:sub>
              </m:sSub>
              <m:r>
                <m:rPr>
                  <m:sty m:val="p"/>
                </m:rPr>
                <w:rPr>
                  <w:rFonts w:ascii="Cambria Math" w:hAnsi="Cambria Math"/>
                </w:rPr>
                <m:t>,</m:t>
              </m:r>
              <m:r>
                <w:rPr>
                  <w:rFonts w:ascii="Cambria Math" w:hAnsi="Cambria Math"/>
                </w:rPr>
                <m:t>payload</m:t>
              </m:r>
            </m:e>
          </m:d>
          <m:r>
            <m:rPr>
              <m:sty m:val="p"/>
            </m:rPr>
            <w:rPr>
              <w:rFonts w:ascii="Cambria Math" w:hAnsi="Cambria Math"/>
            </w:rPr>
            <m:t>,</m:t>
          </m:r>
        </m:oMath>
      </m:oMathPara>
    </w:p>
    <w:p w14:paraId="573FF27D" w14:textId="77777777" w:rsidR="00D07B66" w:rsidRDefault="00000000">
      <w:pPr>
        <w:pStyle w:val="FirstParagraph"/>
      </w:pPr>
      <w:r>
        <w:lastRenderedPageBreak/>
        <w:t>where: - $\mathit{aid}$ is a stable action-instance identifier derived deterministically from $(\mathit{rid}_r, \theta, \mathit{winid}_t)$, - $\mathit{winid}_t$ is a stable identifier for the evaluation window (derived from $t$ and $\mathit{Win}$), - $\mathit{role}_t$ is the issuing role or governing role associated with the action under $C_t$, - $\mathit{payload} = A_r(\theta, G_t, C_t)$ is the constructed content.</w:t>
      </w:r>
    </w:p>
    <w:p w14:paraId="4B467FD9" w14:textId="77777777" w:rsidR="00D07B66" w:rsidRDefault="00000000">
      <w:pPr>
        <w:pStyle w:val="BodyText"/>
      </w:pPr>
      <w:r>
        <w:t>This ensures that two actions with identical payloads but produced by different rule instances remain distinct for scheduling, accountability, and trace reconstruction.</w:t>
      </w:r>
    </w:p>
    <w:p w14:paraId="6AA38AE3" w14:textId="77777777" w:rsidR="00D07B66" w:rsidRDefault="00000000">
      <w:pPr>
        <w:pStyle w:val="Heading4"/>
      </w:pPr>
      <w:bookmarkStart w:id="28" w:name="candidate-action-set"/>
      <w:bookmarkEnd w:id="27"/>
      <w:r>
        <w:t>Candidate action set</w:t>
      </w:r>
    </w:p>
    <w:p w14:paraId="1F140540" w14:textId="77777777" w:rsidR="00D07B66" w:rsidRDefault="00000000">
      <w:pPr>
        <w:pStyle w:val="FirstParagraph"/>
      </w:pPr>
      <w:r>
        <w:t>The candidate action set is:</w:t>
      </w:r>
    </w:p>
    <w:p w14:paraId="5E1A3979" w14:textId="77777777" w:rsidR="00D07B66" w:rsidRDefault="00000000">
      <w:pPr>
        <w:pStyle w:val="BodyText"/>
      </w:pPr>
      <m:oMathPara>
        <m:oMathParaPr>
          <m:jc m:val="center"/>
        </m:oMathParaPr>
        <m:oMath>
          <m:sSub>
            <m:sSubPr>
              <m:ctrlPr>
                <w:rPr>
                  <w:rFonts w:ascii="Cambria Math" w:hAnsi="Cambria Math"/>
                </w:rPr>
              </m:ctrlPr>
            </m:sSubPr>
            <m:e>
              <m:r>
                <w:rPr>
                  <w:rFonts w:ascii="Cambria Math" w:hAnsi="Cambria Math"/>
                </w:rPr>
                <m:t>Act</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En</m:t>
                  </m:r>
                </m:e>
                <m:sub>
                  <m:r>
                    <w:rPr>
                      <w:rFonts w:ascii="Cambria Math" w:hAnsi="Cambria Math"/>
                    </w:rPr>
                    <m:t>t</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ActInst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e>
          </m:d>
          <m:r>
            <m:rPr>
              <m:sty m:val="p"/>
            </m:rPr>
            <w:rPr>
              <w:rFonts w:ascii="Cambria Math" w:hAnsi="Cambria Math"/>
            </w:rPr>
            <m:t>.</m:t>
          </m:r>
        </m:oMath>
      </m:oMathPara>
    </w:p>
    <w:p w14:paraId="2F1BACE7" w14:textId="77777777" w:rsidR="00D07B66" w:rsidRDefault="00000000">
      <w:pPr>
        <w:pStyle w:val="FirstParagraph"/>
      </w:pPr>
      <w:r>
        <w:t>Concurrency arises when $|\mathit{Act}_t| &gt; 1$.</w:t>
      </w:r>
    </w:p>
    <w:p w14:paraId="53C4DA81" w14:textId="77777777" w:rsidR="00D07B66" w:rsidRDefault="00000000">
      <w:pPr>
        <w:pStyle w:val="Heading3"/>
      </w:pPr>
      <w:bookmarkStart w:id="29" w:name="Xc1c0dc6e15a9c15a4fd3b2646dbb3b24f7fe99d"/>
      <w:bookmarkEnd w:id="24"/>
      <w:bookmarkEnd w:id="28"/>
      <w:r>
        <w:t>Update effects and successor-state application</w:t>
      </w:r>
    </w:p>
    <w:p w14:paraId="41FF76BB" w14:textId="77777777" w:rsidR="00D07B66" w:rsidRDefault="00000000">
      <w:pPr>
        <w:pStyle w:val="Heading4"/>
      </w:pPr>
      <w:bookmarkStart w:id="30" w:name="action-effects"/>
      <w:r>
        <w:t>Action effects</w:t>
      </w:r>
    </w:p>
    <w:p w14:paraId="007AC50B" w14:textId="77777777" w:rsidR="00D07B66" w:rsidRDefault="00000000">
      <w:pPr>
        <w:pStyle w:val="FirstParagraph"/>
      </w:pPr>
      <w:r>
        <w:t>Each action instance $\alpha$ deterministically induces an RDF update effect:</w:t>
      </w:r>
    </w:p>
    <w:p w14:paraId="00E5FA10" w14:textId="77777777" w:rsidR="00D07B66" w:rsidRDefault="00000000">
      <w:pPr>
        <w:pStyle w:val="BodyText"/>
      </w:pPr>
      <m:oMathPara>
        <m:oMathParaPr>
          <m:jc m:val="center"/>
        </m:oMathParaPr>
        <m:oMath>
          <m:r>
            <w:rPr>
              <w:rFonts w:ascii="Cambria Math" w:hAnsi="Cambria Math"/>
            </w:rPr>
            <m:t>δ</m:t>
          </m:r>
          <m:d>
            <m:dPr>
              <m:ctrlPr>
                <w:rPr>
                  <w:rFonts w:ascii="Cambria Math" w:hAnsi="Cambria Math"/>
                </w:rPr>
              </m:ctrlPr>
            </m:dPr>
            <m:e>
              <m:r>
                <w:rPr>
                  <w:rFonts w:ascii="Cambria Math" w:hAnsi="Cambria Math"/>
                </w:rPr>
                <m:t>α</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α</m:t>
                  </m:r>
                </m:sub>
              </m:sSub>
            </m:e>
          </m:d>
          <m:r>
            <m:rPr>
              <m:sty m:val="p"/>
            </m:rPr>
            <w:rPr>
              <w:rFonts w:ascii="Cambria Math" w:hAnsi="Cambria Math"/>
            </w:rPr>
            <m:t>,</m:t>
          </m:r>
        </m:oMath>
      </m:oMathPara>
    </w:p>
    <w:p w14:paraId="11B6DABC" w14:textId="77777777" w:rsidR="00D07B66" w:rsidRDefault="00000000">
      <w:pPr>
        <w:pStyle w:val="FirstParagraph"/>
      </w:pPr>
      <w:r>
        <w:t>where $D_\alpha$ is a set of deletions and $I_\alpha$ is a set of insertions. This reflects established fine-grained update models for RDF and SPARQL-update-like languages (Horne et al., 2011; Halpin &amp; Cheney, 2014).</w:t>
      </w:r>
    </w:p>
    <w:p w14:paraId="2EF20FA3" w14:textId="77777777" w:rsidR="00D07B66" w:rsidRDefault="00000000">
      <w:pPr>
        <w:pStyle w:val="Heading4"/>
      </w:pPr>
      <w:bookmarkStart w:id="31" w:name="state-transition-operator"/>
      <w:bookmarkEnd w:id="30"/>
      <w:r>
        <w:t>State transition operator</w:t>
      </w:r>
    </w:p>
    <w:p w14:paraId="174EA74A" w14:textId="77777777" w:rsidR="00D07B66" w:rsidRDefault="00000000">
      <w:pPr>
        <w:pStyle w:val="FirstParagraph"/>
      </w:pPr>
      <w:r>
        <w:t>Let $\oplus$ apply an aggregate effect to a graph state:</w:t>
      </w:r>
    </w:p>
    <w:p w14:paraId="3F746D27" w14:textId="77777777" w:rsidR="00D07B66" w:rsidRDefault="00000000">
      <w:pPr>
        <w:pStyle w:val="BodyText"/>
      </w:pPr>
      <m:oMathPara>
        <m:oMathParaPr>
          <m:jc m:val="center"/>
        </m:oMathParaP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I</m:t>
              </m:r>
            </m:e>
          </m:d>
          <m:r>
            <m:rPr>
              <m:sty m:val="p"/>
            </m:rPr>
            <w:rPr>
              <w:rFonts w:ascii="Cambria Math" w:hAnsi="Cambria Math"/>
            </w:rPr>
            <m:t>=</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I</m:t>
          </m:r>
          <m:r>
            <m:rPr>
              <m:sty m:val="p"/>
            </m:rPr>
            <w:rPr>
              <w:rFonts w:ascii="Cambria Math" w:hAnsi="Cambria Math"/>
            </w:rPr>
            <m:t>.</m:t>
          </m:r>
        </m:oMath>
      </m:oMathPara>
    </w:p>
    <w:p w14:paraId="708C5A41" w14:textId="77777777" w:rsidR="00D07B66" w:rsidRDefault="00000000">
      <w:pPr>
        <w:pStyle w:val="FirstParagraph"/>
      </w:pPr>
      <w:r>
        <w:t>We assume the update application is deterministic, and that transitions are atomic at the semantic level, consistent with transaction-oriented views of update execution (Haerder &amp; Reuter, 1983).</w:t>
      </w:r>
    </w:p>
    <w:p w14:paraId="536F531E" w14:textId="77777777" w:rsidR="00D07B66" w:rsidRDefault="00000000">
      <w:pPr>
        <w:pStyle w:val="Heading3"/>
      </w:pPr>
      <w:bookmarkStart w:id="32" w:name="X4c716e4df66c1b8d18bd36ccb61c039ca9b4654"/>
      <w:bookmarkEnd w:id="29"/>
      <w:bookmarkEnd w:id="31"/>
      <w:r>
        <w:t>Deterministic scheduling under concurrency</w:t>
      </w:r>
    </w:p>
    <w:p w14:paraId="70D48820" w14:textId="77777777" w:rsidR="00D07B66" w:rsidRDefault="00000000">
      <w:pPr>
        <w:pStyle w:val="Heading4"/>
      </w:pPr>
      <w:bookmarkStart w:id="33" w:name="scheduling-key"/>
      <w:r>
        <w:t>Scheduling key</w:t>
      </w:r>
    </w:p>
    <w:p w14:paraId="247738D9" w14:textId="77777777" w:rsidR="00D07B66" w:rsidRDefault="00000000">
      <w:pPr>
        <w:pStyle w:val="FirstParagraph"/>
      </w:pPr>
      <w:r>
        <w:t>A deterministic execution semantics requires a strict total order over action instances. Define a deterministic scheduling key:</w:t>
      </w:r>
    </w:p>
    <w:p w14:paraId="0CCCB52D" w14:textId="77777777" w:rsidR="00D07B66" w:rsidRDefault="00000000">
      <w:pPr>
        <w:pStyle w:val="BodyText"/>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t</m:t>
              </m:r>
            </m:sub>
          </m:sSub>
          <m:d>
            <m:dPr>
              <m:ctrlPr>
                <w:rPr>
                  <w:rFonts w:ascii="Cambria Math" w:hAnsi="Cambria Math"/>
                </w:rPr>
              </m:ctrlPr>
            </m:dPr>
            <m:e>
              <m:r>
                <w:rPr>
                  <w:rFonts w:ascii="Cambria Math" w:hAnsi="Cambria Math"/>
                </w:rPr>
                <m:t>α</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roleRank</m:t>
                  </m:r>
                </m:e>
                <m:sub>
                  <m:sSub>
                    <m:sSubPr>
                      <m:ctrlPr>
                        <w:rPr>
                          <w:rFonts w:ascii="Cambria Math" w:hAnsi="Cambria Math"/>
                        </w:rPr>
                      </m:ctrlPr>
                    </m:sSubPr>
                    <m:e>
                      <m:r>
                        <w:rPr>
                          <w:rFonts w:ascii="Cambria Math" w:hAnsi="Cambria Math"/>
                        </w:rPr>
                        <m:t>C</m:t>
                      </m:r>
                    </m:e>
                    <m:sub>
                      <m:r>
                        <w:rPr>
                          <w:rFonts w:ascii="Cambria Math" w:hAnsi="Cambria Math"/>
                        </w:rPr>
                        <m:t>t</m:t>
                      </m:r>
                    </m:sub>
                  </m:sSub>
                </m:sub>
              </m:sSub>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tsKey</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rid</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bindKey</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aid</m:t>
              </m:r>
              <m:d>
                <m:dPr>
                  <m:ctrlPr>
                    <w:rPr>
                      <w:rFonts w:ascii="Cambria Math" w:hAnsi="Cambria Math"/>
                    </w:rPr>
                  </m:ctrlPr>
                </m:dPr>
                <m:e>
                  <m:r>
                    <w:rPr>
                      <w:rFonts w:ascii="Cambria Math" w:hAnsi="Cambria Math"/>
                    </w:rPr>
                    <m:t>α</m:t>
                  </m:r>
                </m:e>
              </m:d>
            </m:e>
          </m:d>
          <m:r>
            <m:rPr>
              <m:sty m:val="p"/>
            </m:rPr>
            <w:rPr>
              <w:rFonts w:ascii="Cambria Math" w:hAnsi="Cambria Math"/>
            </w:rPr>
            <m:t>,</m:t>
          </m:r>
        </m:oMath>
      </m:oMathPara>
    </w:p>
    <w:p w14:paraId="244F38BF" w14:textId="77777777" w:rsidR="00D07B66" w:rsidRDefault="00000000">
      <w:pPr>
        <w:pStyle w:val="FirstParagraph"/>
      </w:pPr>
      <w:r>
        <w:t xml:space="preserve">ordered lexicographically, where: - $\mathit{roleRank}_{C_t}$ derives a deterministic precedence rank from $C_t$ (Sandhu et al., 1996), - $P(\alpha)$ is the rule priority class of the originating rule, - $\mathit{tsKey}(\alpha)$ is derived deterministically from event </w:t>
      </w:r>
      <w:r>
        <w:lastRenderedPageBreak/>
        <w:t>timestamps in $S_t$ relevant to $\alpha$ under $E_r^\theta$ and the window identifier, - $\mathit{bindKey}(\alpha)$ is a canonical encoding of $\theta$, - $\mathit{aid}(\alpha)$ ensures tie-breaking at the action-instance level.</w:t>
      </w:r>
    </w:p>
    <w:p w14:paraId="0E40B01C" w14:textId="77777777" w:rsidR="00D07B66" w:rsidRDefault="00000000">
      <w:pPr>
        <w:pStyle w:val="BodyText"/>
      </w:pPr>
      <w:r>
        <w:t>This corrects the draft’s reliance on “stable rule identity” alone by ensuring that distinct rule instances and identical payloads do not collapse.</w:t>
      </w:r>
    </w:p>
    <w:p w14:paraId="62B0E8E7" w14:textId="77777777" w:rsidR="00D07B66" w:rsidRDefault="00000000">
      <w:pPr>
        <w:pStyle w:val="Heading4"/>
      </w:pPr>
      <w:bookmarkStart w:id="34" w:name="schedule"/>
      <w:bookmarkEnd w:id="33"/>
      <w:r>
        <w:t>Schedule</w:t>
      </w:r>
    </w:p>
    <w:p w14:paraId="37E3D1BE" w14:textId="77777777" w:rsidR="00D07B66" w:rsidRDefault="00000000">
      <w:pPr>
        <w:pStyle w:val="FirstParagraph"/>
      </w:pPr>
      <w:r>
        <w:t>Let $\prec_t$ be the strict total order induced by $\kappa_t$. The schedule is:</w:t>
      </w:r>
    </w:p>
    <w:p w14:paraId="39F2281C" w14:textId="77777777" w:rsidR="00D07B66" w:rsidRDefault="00000000">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r>
            <w:rPr>
              <w:rFonts w:ascii="Cambria Math" w:hAnsi="Cambria Math"/>
            </w:rPr>
            <m:t> </m:t>
          </m:r>
          <m:r>
            <m:rPr>
              <m:nor/>
            </m:rPr>
            <m:t>such that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oMath>
      </m:oMathPara>
    </w:p>
    <w:p w14:paraId="19F99BF5" w14:textId="77777777" w:rsidR="00D07B66" w:rsidRDefault="00000000">
      <w:pPr>
        <w:pStyle w:val="FirstParagraph"/>
      </w:pPr>
      <w:r>
        <w:t>Given identical $(G_t, S_t, R, C_t)$ and fixed semantic components, $\Sigma_t$ is unique.</w:t>
      </w:r>
    </w:p>
    <w:p w14:paraId="17E0BB0E" w14:textId="77777777" w:rsidR="00D07B66" w:rsidRDefault="00000000">
      <w:pPr>
        <w:pStyle w:val="Heading3"/>
      </w:pPr>
      <w:bookmarkStart w:id="35" w:name="Xbd7bddf1567fee9db97377b2ebae7589798a6ca"/>
      <w:bookmarkEnd w:id="32"/>
      <w:bookmarkEnd w:id="34"/>
      <w:r>
        <w:t>Admissibility, conflicts, and deterministic resolution</w:t>
      </w:r>
    </w:p>
    <w:p w14:paraId="2374D2A4" w14:textId="77777777" w:rsidR="00D07B66" w:rsidRDefault="00000000">
      <w:pPr>
        <w:pStyle w:val="Heading4"/>
      </w:pPr>
      <w:bookmarkStart w:id="36" w:name="Xf51770c5b5c55803539ab8712f199a2a4867875"/>
      <w:r>
        <w:t>Invariants and admissibility (primary notion)</w:t>
      </w:r>
    </w:p>
    <w:p w14:paraId="53C1AD27" w14:textId="77777777" w:rsidR="00D07B66" w:rsidRDefault="00000000">
      <w:pPr>
        <w:pStyle w:val="FirstParagraph"/>
      </w:pPr>
      <w:r>
        <w:t>Let $I^S$ be a set of safety invariants, each a predicate $I_i^S : \mathcal{G} \to {\mathit{true}, \mathit{false}}$. Let $I^G$ be a set of governance invariants, each $I_j^G : \mathcal{G} \times \mathcal{C} \to {\mathit{true}, \mathit{false}}$. Define:</w:t>
      </w:r>
    </w:p>
    <w:p w14:paraId="481C8743" w14:textId="77777777" w:rsidR="00D07B66" w:rsidRDefault="00000000">
      <w:pPr>
        <w:pStyle w:val="BodyText"/>
      </w:pPr>
      <m:oMathPara>
        <m:oMathParaPr>
          <m:jc m:val="center"/>
        </m:oMathParaPr>
        <m:oMath>
          <m:r>
            <w:rPr>
              <w:rFonts w:ascii="Cambria Math" w:hAnsi="Cambria Math"/>
            </w:rPr>
            <m:t>Safe</m:t>
          </m:r>
          <m:d>
            <m:dPr>
              <m:ctrlPr>
                <w:rPr>
                  <w:rFonts w:ascii="Cambria Math" w:hAnsi="Cambria Math"/>
                </w:rPr>
              </m:ctrlPr>
            </m:dPr>
            <m:e>
              <m:r>
                <w:rPr>
                  <w:rFonts w:ascii="Cambria Math" w:hAnsi="Cambria Math"/>
                </w:rPr>
                <m:t>G</m:t>
              </m:r>
            </m:e>
          </m:d>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S</m:t>
              </m:r>
            </m:sup>
          </m:sSubSup>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S</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S</m:t>
              </m:r>
            </m:sup>
          </m:sSubSup>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true</m:t>
          </m:r>
          <m:r>
            <m:rPr>
              <m:sty m:val="p"/>
            </m:rPr>
            <w:rPr>
              <w:rFonts w:ascii="Cambria Math" w:hAnsi="Cambria Math"/>
            </w:rPr>
            <m:t>,</m:t>
          </m:r>
        </m:oMath>
      </m:oMathPara>
    </w:p>
    <w:p w14:paraId="097DE3DE" w14:textId="77777777" w:rsidR="00D07B66" w:rsidRDefault="00000000">
      <w:pPr>
        <w:pStyle w:val="FirstParagraph"/>
      </w:pPr>
      <m:oMathPara>
        <m:oMathParaPr>
          <m:jc m:val="center"/>
        </m:oMathParaPr>
        <m:oMath>
          <m:r>
            <w:rPr>
              <w:rFonts w:ascii="Cambria Math" w:hAnsi="Cambria Math"/>
            </w:rPr>
            <m:t>Gov</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C</m:t>
              </m:r>
            </m:e>
          </m:d>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G</m:t>
              </m:r>
            </m:sup>
          </m:sSubSup>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G</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G</m:t>
              </m:r>
            </m:sup>
          </m:sSubSup>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true</m:t>
          </m:r>
          <m:r>
            <m:rPr>
              <m:sty m:val="p"/>
            </m:rPr>
            <w:rPr>
              <w:rFonts w:ascii="Cambria Math" w:hAnsi="Cambria Math"/>
            </w:rPr>
            <m:t>,</m:t>
          </m:r>
        </m:oMath>
      </m:oMathPara>
    </w:p>
    <w:p w14:paraId="3D9B7CE9" w14:textId="77777777" w:rsidR="00D07B66" w:rsidRDefault="00000000">
      <w:pPr>
        <w:pStyle w:val="FirstParagraph"/>
      </w:pPr>
      <m:oMathPara>
        <m:oMathParaPr>
          <m:jc m:val="center"/>
        </m:oMathParaPr>
        <m:oMath>
          <m:r>
            <w:rPr>
              <w:rFonts w:ascii="Cambria Math" w:hAnsi="Cambria Math"/>
            </w:rPr>
            <m:t>Inv</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Safe</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Gov</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C</m:t>
              </m:r>
            </m:e>
          </m:d>
          <m:r>
            <m:rPr>
              <m:sty m:val="p"/>
            </m:rPr>
            <w:rPr>
              <w:rFonts w:ascii="Cambria Math" w:hAnsi="Cambria Math"/>
            </w:rPr>
            <m:t>.</m:t>
          </m:r>
        </m:oMath>
      </m:oMathPara>
    </w:p>
    <w:p w14:paraId="1113D881" w14:textId="77777777" w:rsidR="00D07B66" w:rsidRDefault="00000000">
      <w:pPr>
        <w:pStyle w:val="FirstParagraph"/>
      </w:pPr>
      <w:r>
        <w:t>In practice, such invariants can be implemented using a formally defined validation semantics such as recursive SHACL validation, and may incorporate background ontological reasoning under an explicitly defined combined semantics (Corman et al., 2018; Oudshoorn et al., 2026).</w:t>
      </w:r>
    </w:p>
    <w:p w14:paraId="416588E2" w14:textId="77777777" w:rsidR="00D07B66" w:rsidRDefault="00000000">
      <w:pPr>
        <w:pStyle w:val="BodyText"/>
      </w:pPr>
      <w:r>
        <w:t>For an action set $B \subseteq \mathit{Act}_t$, define its aggregate effect:</w:t>
      </w:r>
    </w:p>
    <w:p w14:paraId="6F410C88" w14:textId="77777777" w:rsidR="00D07B66" w:rsidRDefault="00000000">
      <w:pPr>
        <w:pStyle w:val="BodyText"/>
      </w:pPr>
      <m:oMathPara>
        <m:oMathParaPr>
          <m:jc m:val="center"/>
        </m:oMathParaPr>
        <m:oMath>
          <m:r>
            <w:rPr>
              <w:rFonts w:ascii="Cambria Math" w:hAnsi="Cambria Math"/>
            </w:rPr>
            <m:t>Δ</m:t>
          </m:r>
          <m:d>
            <m:dPr>
              <m:ctrlPr>
                <w:rPr>
                  <w:rFonts w:ascii="Cambria Math" w:hAnsi="Cambria Math"/>
                </w:rPr>
              </m:ctrlPr>
            </m:dPr>
            <m:e>
              <m:r>
                <w:rPr>
                  <w:rFonts w:ascii="Cambria Math" w:hAnsi="Cambria Math"/>
                </w:rPr>
                <m:t>B</m:t>
              </m:r>
            </m:e>
          </m:d>
          <m:r>
            <m:rPr>
              <m:sty m:val="p"/>
            </m:rPr>
            <w:rPr>
              <w:rFonts w:ascii="Cambria Math" w:hAnsi="Cambria Math"/>
            </w:rPr>
            <m: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t>
                  </m:r>
                </m:e>
                <m:lim>
                  <m:r>
                    <w:rPr>
                      <w:rFonts w:ascii="Cambria Math" w:hAnsi="Cambria Math"/>
                    </w:rPr>
                    <m:t>α</m:t>
                  </m:r>
                  <m:r>
                    <m:rPr>
                      <m:sty m:val="p"/>
                    </m:rPr>
                    <w:rPr>
                      <w:rFonts w:ascii="Cambria Math" w:hAnsi="Cambria Math"/>
                    </w:rPr>
                    <m:t>∈</m:t>
                  </m:r>
                  <m:r>
                    <w:rPr>
                      <w:rFonts w:ascii="Cambria Math" w:hAnsi="Cambria Math"/>
                    </w:rPr>
                    <m:t>B</m:t>
                  </m:r>
                </m:lim>
              </m:limLow>
              <m:sSub>
                <m:sSubPr>
                  <m:ctrlPr>
                    <w:rPr>
                      <w:rFonts w:ascii="Cambria Math" w:hAnsi="Cambria Math"/>
                    </w:rPr>
                  </m:ctrlPr>
                </m:sSubPr>
                <m:e>
                  <m:r>
                    <w:rPr>
                      <w:rFonts w:ascii="Cambria Math" w:hAnsi="Cambria Math"/>
                    </w:rPr>
                    <m:t>D</m:t>
                  </m:r>
                </m:e>
                <m:sub>
                  <m:r>
                    <w:rPr>
                      <w:rFonts w:ascii="Cambria Math" w:hAnsi="Cambria Math"/>
                    </w:rPr>
                    <m:t>α</m:t>
                  </m:r>
                </m:sub>
              </m:sSub>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t>
                  </m:r>
                </m:e>
                <m:lim>
                  <m:r>
                    <w:rPr>
                      <w:rFonts w:ascii="Cambria Math" w:hAnsi="Cambria Math"/>
                    </w:rPr>
                    <m:t>α</m:t>
                  </m:r>
                  <m:r>
                    <m:rPr>
                      <m:sty m:val="p"/>
                    </m:rPr>
                    <w:rPr>
                      <w:rFonts w:ascii="Cambria Math" w:hAnsi="Cambria Math"/>
                    </w:rPr>
                    <m:t>∈</m:t>
                  </m:r>
                  <m:r>
                    <w:rPr>
                      <w:rFonts w:ascii="Cambria Math" w:hAnsi="Cambria Math"/>
                    </w:rPr>
                    <m:t>B</m:t>
                  </m:r>
                </m:lim>
              </m:limLow>
              <m:sSub>
                <m:sSubPr>
                  <m:ctrlPr>
                    <w:rPr>
                      <w:rFonts w:ascii="Cambria Math" w:hAnsi="Cambria Math"/>
                    </w:rPr>
                  </m:ctrlPr>
                </m:sSubPr>
                <m:e>
                  <m:r>
                    <w:rPr>
                      <w:rFonts w:ascii="Cambria Math" w:hAnsi="Cambria Math"/>
                    </w:rPr>
                    <m:t>I</m:t>
                  </m:r>
                </m:e>
                <m:sub>
                  <m:r>
                    <w:rPr>
                      <w:rFonts w:ascii="Cambria Math" w:hAnsi="Cambria Math"/>
                    </w:rPr>
                    <m:t>α</m:t>
                  </m:r>
                </m:sub>
              </m:sSub>
            </m:e>
          </m:d>
          <m:r>
            <m:rPr>
              <m:sty m:val="p"/>
            </m:rPr>
            <w:rPr>
              <w:rFonts w:ascii="Cambria Math" w:hAnsi="Cambria Math"/>
            </w:rPr>
            <m:t>,</m:t>
          </m:r>
        </m:oMath>
      </m:oMathPara>
    </w:p>
    <w:p w14:paraId="2D8AB3B8" w14:textId="77777777" w:rsidR="00D07B66" w:rsidRDefault="00000000">
      <w:pPr>
        <w:pStyle w:val="FirstParagraph"/>
      </w:pPr>
      <w:r>
        <w:t>and candidate successor:</w:t>
      </w:r>
    </w:p>
    <w:p w14:paraId="3D1D6C7D" w14:textId="77777777" w:rsidR="00D07B66" w:rsidRDefault="00000000">
      <w:pPr>
        <w:pStyle w:val="BodyText"/>
      </w:pPr>
      <m:oMathPara>
        <m:oMathParaPr>
          <m:jc m:val="center"/>
        </m:oMathParaPr>
        <m:oMath>
          <m:r>
            <w:rPr>
              <w:rFonts w:ascii="Cambria Math" w:hAnsi="Cambria Math"/>
            </w:rPr>
            <m:t>τ</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Δ</m:t>
          </m:r>
          <m:d>
            <m:dPr>
              <m:ctrlPr>
                <w:rPr>
                  <w:rFonts w:ascii="Cambria Math" w:hAnsi="Cambria Math"/>
                </w:rPr>
              </m:ctrlPr>
            </m:dPr>
            <m:e>
              <m:r>
                <w:rPr>
                  <w:rFonts w:ascii="Cambria Math" w:hAnsi="Cambria Math"/>
                </w:rPr>
                <m:t>B</m:t>
              </m:r>
            </m:e>
          </m:d>
          <m:r>
            <m:rPr>
              <m:sty m:val="p"/>
            </m:rPr>
            <w:rPr>
              <w:rFonts w:ascii="Cambria Math" w:hAnsi="Cambria Math"/>
            </w:rPr>
            <m:t>.</m:t>
          </m:r>
        </m:oMath>
      </m:oMathPara>
    </w:p>
    <w:p w14:paraId="2CD7DEAA" w14:textId="77777777" w:rsidR="00D07B66" w:rsidRDefault="00000000">
      <w:pPr>
        <w:pStyle w:val="FirstParagraph"/>
      </w:pPr>
      <w:r>
        <w:t>Admissibility is:</w:t>
      </w:r>
    </w:p>
    <w:p w14:paraId="7085DEC5" w14:textId="77777777" w:rsidR="00D07B66" w:rsidRDefault="00000000">
      <w:pPr>
        <w:pStyle w:val="BodyText"/>
      </w:pPr>
      <m:oMathPara>
        <m:oMathParaPr>
          <m:jc m:val="center"/>
        </m:oMathParaPr>
        <m:oMath>
          <m:sSub>
            <m:sSubPr>
              <m:ctrlPr>
                <w:rPr>
                  <w:rFonts w:ascii="Cambria Math" w:hAnsi="Cambria Math"/>
                </w:rPr>
              </m:ctrlPr>
            </m:sSubPr>
            <m:e>
              <m:r>
                <w:rPr>
                  <w:rFonts w:ascii="Cambria Math" w:hAnsi="Cambria Math"/>
                </w:rPr>
                <m:t>Adm</m:t>
              </m:r>
            </m:e>
            <m:sub>
              <m:r>
                <w:rPr>
                  <w:rFonts w:ascii="Cambria Math" w:hAnsi="Cambria Math"/>
                </w:rPr>
                <m:t>t</m:t>
              </m:r>
            </m:sub>
          </m:sSub>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Inv</m:t>
          </m:r>
          <m:d>
            <m:dPr>
              <m:ctrlPr>
                <w:rPr>
                  <w:rFonts w:ascii="Cambria Math" w:hAnsi="Cambria Math"/>
                </w:rPr>
              </m:ctrlPr>
            </m:dPr>
            <m:e>
              <m:r>
                <w:rPr>
                  <w:rFonts w:ascii="Cambria Math" w:hAnsi="Cambria Math"/>
                </w:rPr>
                <m:t>τ</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e>
          </m:d>
          <m:r>
            <m:rPr>
              <m:sty m:val="p"/>
            </m:rPr>
            <w:rPr>
              <w:rFonts w:ascii="Cambria Math" w:hAnsi="Cambria Math"/>
            </w:rPr>
            <m:t>.</m:t>
          </m:r>
        </m:oMath>
      </m:oMathPara>
    </w:p>
    <w:p w14:paraId="5AC0228D" w14:textId="77777777" w:rsidR="00D07B66" w:rsidRDefault="00000000">
      <w:pPr>
        <w:pStyle w:val="FirstParagraph"/>
      </w:pPr>
      <w:r>
        <w:t>This makes admissibility over action sets the primary semantic notion, resolving the draft’s ambiguity between pairwise conflict and set-based admissibility.</w:t>
      </w:r>
    </w:p>
    <w:p w14:paraId="17FA6626" w14:textId="77777777" w:rsidR="00D07B66" w:rsidRDefault="00000000">
      <w:pPr>
        <w:pStyle w:val="Heading4"/>
      </w:pPr>
      <w:bookmarkStart w:id="37" w:name="Xac8498eb7de6367e4a0fe127f8372f6f24c40a3"/>
      <w:bookmarkEnd w:id="36"/>
      <w:r>
        <w:lastRenderedPageBreak/>
        <w:t>Derived pairwise conflict (secondary notion)</w:t>
      </w:r>
    </w:p>
    <w:p w14:paraId="7C2D7AFF" w14:textId="77777777" w:rsidR="00D07B66" w:rsidRDefault="00000000">
      <w:pPr>
        <w:pStyle w:val="FirstParagraph"/>
      </w:pPr>
      <w:r>
        <w:t>For explanation and stress testing purposes, define a derived pairwise conflict relation:</w:t>
      </w:r>
    </w:p>
    <w:p w14:paraId="77D47581" w14:textId="77777777" w:rsidR="00D07B66" w:rsidRDefault="00000000">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r>
            <m:rPr>
              <m:sty m:val="p"/>
            </m:rPr>
            <w:rPr>
              <w:rFonts w:ascii="Cambria Math" w:hAnsi="Cambria Math"/>
            </w:rPr>
            <m:t>⇔¬</m:t>
          </m:r>
          <m:sSub>
            <m:sSubPr>
              <m:ctrlPr>
                <w:rPr>
                  <w:rFonts w:ascii="Cambria Math" w:hAnsi="Cambria Math"/>
                </w:rPr>
              </m:ctrlPr>
            </m:sSubPr>
            <m:e>
              <m:r>
                <w:rPr>
                  <w:rFonts w:ascii="Cambria Math" w:hAnsi="Cambria Math"/>
                </w:rPr>
                <m:t>Adm</m:t>
              </m:r>
            </m:e>
            <m:sub>
              <m:r>
                <w:rPr>
                  <w:rFonts w:ascii="Cambria Math" w:hAnsi="Cambria Math"/>
                </w:rPr>
                <m:t>t</m:t>
              </m:r>
            </m:sub>
          </m:sSub>
          <m:d>
            <m:dPr>
              <m:ctrlPr>
                <w:rPr>
                  <w:rFonts w:ascii="Cambria Math" w:hAnsi="Cambria Math"/>
                </w:rPr>
              </m:ctrlPr>
            </m:dPr>
            <m:e>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e>
          </m:d>
          <m:r>
            <m:rPr>
              <m:sty m:val="p"/>
            </m:rPr>
            <w:rPr>
              <w:rFonts w:ascii="Cambria Math" w:hAnsi="Cambria Math"/>
            </w:rPr>
            <m:t>.</m:t>
          </m:r>
        </m:oMath>
      </m:oMathPara>
    </w:p>
    <w:p w14:paraId="2CACD338" w14:textId="77777777" w:rsidR="00D07B66" w:rsidRDefault="00000000">
      <w:pPr>
        <w:pStyle w:val="FirstParagraph"/>
      </w:pPr>
      <w:r>
        <w:t>We do not assume pairwise conflict is complete for capturing all higher-order interactions. If invariants include higher-arity interactions, a set may be inadmissible even if all pairs are admissible. Our execution semantics remains correct because it relies on set-based admissibility at selection time, not only on pairwise checks. This stance is consistent with practical conflict-graph approaches in trigger-action systems while acknowledging their potential incompleteness (Chen et al., 2024; Xing et al., 2024).</w:t>
      </w:r>
    </w:p>
    <w:p w14:paraId="7D2FE0D5" w14:textId="77777777" w:rsidR="00D07B66" w:rsidRDefault="00000000">
      <w:pPr>
        <w:pStyle w:val="Heading4"/>
      </w:pPr>
      <w:bookmarkStart w:id="38" w:name="deterministic-resolver"/>
      <w:bookmarkEnd w:id="37"/>
      <w:r>
        <w:t>Deterministic resolver</w:t>
      </w:r>
    </w:p>
    <w:p w14:paraId="30D15540" w14:textId="77777777" w:rsidR="00D07B66" w:rsidRDefault="00000000">
      <w:pPr>
        <w:pStyle w:val="FirstParagraph"/>
      </w:pPr>
      <w:r>
        <w:t>We define a deterministic resolver that selects a unique schedule-consistent admissible set, without claiming global optimality or maximality.</w:t>
      </w:r>
    </w:p>
    <w:p w14:paraId="69C0341E" w14:textId="77777777" w:rsidR="00D07B66" w:rsidRDefault="00000000">
      <w:pPr>
        <w:pStyle w:val="BodyText"/>
      </w:pPr>
      <w:r>
        <w:t>Initialize $B_0 = \emptyset$. For each $\alpha_i$ in schedule order:</w:t>
      </w:r>
    </w:p>
    <w:p w14:paraId="0D9C41C3" w14:textId="77777777" w:rsidR="00D07B66"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r>
                      <m:rPr>
                        <m:nor/>
                      </m:rPr>
                      <m:t xml:space="preserve">if </m:t>
                    </m:r>
                    <m:sSub>
                      <m:sSubPr>
                        <m:ctrlPr>
                          <w:rPr>
                            <w:rFonts w:ascii="Cambria Math" w:hAnsi="Cambria Math"/>
                          </w:rPr>
                        </m:ctrlPr>
                      </m:sSubPr>
                      <m:e>
                        <m:r>
                          <w:rPr>
                            <w:rFonts w:ascii="Cambria Math" w:hAnsi="Cambria Math"/>
                          </w:rPr>
                          <m:t>Adm</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d>
                  </m:e>
                </m:mr>
                <m:mr>
                  <m:e>
                    <m:sSub>
                      <m:sSubPr>
                        <m:ctrlPr>
                          <w:rPr>
                            <w:rFonts w:ascii="Cambria Math" w:hAnsi="Cambria Math"/>
                          </w:rPr>
                        </m:ctrlPr>
                      </m:sSub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1</m:t>
                        </m:r>
                      </m:sub>
                    </m:sSub>
                  </m:e>
                  <m:e>
                    <m:r>
                      <m:rPr>
                        <m:nor/>
                      </m:rPr>
                      <m:t>otherwise.</m:t>
                    </m:r>
                  </m:e>
                </m:mr>
              </m:m>
            </m:e>
          </m:d>
        </m:oMath>
      </m:oMathPara>
    </w:p>
    <w:p w14:paraId="3E9387AB" w14:textId="77777777" w:rsidR="00D07B66" w:rsidRDefault="00000000">
      <w:pPr>
        <w:pStyle w:val="FirstParagraph"/>
      </w:pPr>
      <w:r>
        <w:t>Let:</w:t>
      </w:r>
    </w:p>
    <w:p w14:paraId="3CC87CF1" w14:textId="77777777" w:rsidR="00D07B66"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oMath>
      </m:oMathPara>
    </w:p>
    <w:p w14:paraId="726E10E0" w14:textId="77777777" w:rsidR="00D07B66" w:rsidRDefault="00000000">
      <w:pPr>
        <w:pStyle w:val="FirstParagraph"/>
      </w:pPr>
      <w:r>
        <w:t>This resolver is deterministic by construction when $\mathit{Adm}_t$ is deterministic, and it guarantees that $B_t$ is admissible. It does not guarantee that $B_t$ is maximal among admissible sets, and we explicitly do not claim such an optimization property.</w:t>
      </w:r>
    </w:p>
    <w:p w14:paraId="038A4DBA" w14:textId="77777777" w:rsidR="00D07B66" w:rsidRDefault="00000000">
      <w:pPr>
        <w:pStyle w:val="Heading3"/>
      </w:pPr>
      <w:bookmarkStart w:id="39" w:name="commit-phase-and-transition-trace"/>
      <w:bookmarkEnd w:id="35"/>
      <w:bookmarkEnd w:id="38"/>
      <w:r>
        <w:t>Commit phase and transition trace</w:t>
      </w:r>
    </w:p>
    <w:p w14:paraId="6BD47EDB" w14:textId="77777777" w:rsidR="00D07B66" w:rsidRDefault="00000000">
      <w:pPr>
        <w:pStyle w:val="Heading4"/>
      </w:pPr>
      <w:bookmarkStart w:id="40" w:name="commit-and-successor-state"/>
      <w:r>
        <w:t>Commit and successor state</w:t>
      </w:r>
    </w:p>
    <w:p w14:paraId="63EA15C9" w14:textId="77777777" w:rsidR="008347D7" w:rsidRPr="008347D7" w:rsidRDefault="008347D7" w:rsidP="008347D7">
      <w:pPr>
        <w:rPr>
          <w:lang w:val="en-150"/>
        </w:rPr>
      </w:pPr>
      <w:bookmarkStart w:id="41" w:name="transition-trace-and-completeness"/>
      <w:bookmarkEnd w:id="40"/>
      <w:r w:rsidRPr="008347D7">
        <w:rPr>
          <w:lang w:val="en-150"/>
        </w:rPr>
        <w:t>Although admissibility is defined over action sets, the present execution semantics commits accepted actions in schedule order. Let</w:t>
      </w:r>
    </w:p>
    <w:p w14:paraId="2652A8FF" w14:textId="7216ECC2" w:rsidR="008347D7" w:rsidRPr="008347D7" w:rsidRDefault="00000000" w:rsidP="008347D7">
      <w:pPr>
        <w:rPr>
          <w:lang w:val="en-150"/>
        </w:rPr>
      </w:pPr>
      <m:oMathPara>
        <m:oMath>
          <m:sSub>
            <m:sSubPr>
              <m:ctrlPr>
                <w:rPr>
                  <w:rFonts w:ascii="Cambria Math" w:hAnsi="Cambria Math"/>
                  <w:lang w:val="en-150"/>
                </w:rPr>
              </m:ctrlPr>
            </m:sSubPr>
            <m:e>
              <m:r>
                <w:rPr>
                  <w:rFonts w:ascii="Cambria Math" w:hAnsi="Cambria Math"/>
                  <w:lang w:val="en-150"/>
                </w:rPr>
                <m:t>Π</m:t>
              </m:r>
            </m:e>
            <m:sub>
              <m:r>
                <w:rPr>
                  <w:rFonts w:ascii="Cambria Math" w:hAnsi="Cambria Math"/>
                  <w:lang w:val="en-150"/>
                </w:rPr>
                <m:t>t</m:t>
              </m:r>
            </m:sub>
          </m:sSub>
          <m:r>
            <m:rPr>
              <m:sty m:val="p"/>
            </m:rPr>
            <w:rPr>
              <w:rFonts w:ascii="Cambria Math" w:hAnsi="Cambria Math"/>
              <w:lang w:val="en-150"/>
            </w:rPr>
            <m:t>=⟨</m:t>
          </m:r>
          <m:sSub>
            <m:sSubPr>
              <m:ctrlPr>
                <w:rPr>
                  <w:rFonts w:ascii="Cambria Math" w:hAnsi="Cambria Math"/>
                  <w:lang w:val="en-150"/>
                </w:rPr>
              </m:ctrlPr>
            </m:sSubPr>
            <m:e>
              <m:r>
                <w:rPr>
                  <w:rFonts w:ascii="Cambria Math" w:hAnsi="Cambria Math"/>
                  <w:lang w:val="en-150"/>
                </w:rPr>
                <m:t>α</m:t>
              </m:r>
            </m:e>
            <m:sub>
              <m:sSub>
                <m:sSubPr>
                  <m:ctrlPr>
                    <w:rPr>
                      <w:rFonts w:ascii="Cambria Math" w:hAnsi="Cambria Math"/>
                      <w:lang w:val="en-150"/>
                    </w:rPr>
                  </m:ctrlPr>
                </m:sSubPr>
                <m:e>
                  <m:r>
                    <w:rPr>
                      <w:rFonts w:ascii="Cambria Math" w:hAnsi="Cambria Math"/>
                      <w:lang w:val="en-150"/>
                    </w:rPr>
                    <m:t>i</m:t>
                  </m:r>
                </m:e>
                <m:sub>
                  <m:r>
                    <m:rPr>
                      <m:sty m:val="p"/>
                    </m:rPr>
                    <w:rPr>
                      <w:rFonts w:ascii="Cambria Math" w:hAnsi="Cambria Math"/>
                      <w:lang w:val="en-150"/>
                    </w:rPr>
                    <m:t>1</m:t>
                  </m:r>
                </m:sub>
              </m:sSub>
            </m:sub>
          </m:sSub>
          <m:r>
            <m:rPr>
              <m:sty m:val="p"/>
            </m:rPr>
            <w:rPr>
              <w:rFonts w:ascii="Cambria Math" w:hAnsi="Cambria Math"/>
              <w:lang w:val="en-150"/>
            </w:rPr>
            <m:t>,</m:t>
          </m:r>
          <m:sSub>
            <m:sSubPr>
              <m:ctrlPr>
                <w:rPr>
                  <w:rFonts w:ascii="Cambria Math" w:hAnsi="Cambria Math"/>
                  <w:lang w:val="en-150"/>
                </w:rPr>
              </m:ctrlPr>
            </m:sSubPr>
            <m:e>
              <m:r>
                <w:rPr>
                  <w:rFonts w:ascii="Cambria Math" w:hAnsi="Cambria Math"/>
                  <w:lang w:val="en-150"/>
                </w:rPr>
                <m:t>α</m:t>
              </m:r>
            </m:e>
            <m:sub>
              <m:sSub>
                <m:sSubPr>
                  <m:ctrlPr>
                    <w:rPr>
                      <w:rFonts w:ascii="Cambria Math" w:hAnsi="Cambria Math"/>
                      <w:lang w:val="en-150"/>
                    </w:rPr>
                  </m:ctrlPr>
                </m:sSubPr>
                <m:e>
                  <m:r>
                    <w:rPr>
                      <w:rFonts w:ascii="Cambria Math" w:hAnsi="Cambria Math"/>
                      <w:lang w:val="en-150"/>
                    </w:rPr>
                    <m:t>i</m:t>
                  </m:r>
                </m:e>
                <m:sub>
                  <m:r>
                    <m:rPr>
                      <m:sty m:val="p"/>
                    </m:rPr>
                    <w:rPr>
                      <w:rFonts w:ascii="Cambria Math" w:hAnsi="Cambria Math"/>
                      <w:lang w:val="en-150"/>
                    </w:rPr>
                    <m:t>2</m:t>
                  </m:r>
                </m:sub>
              </m:sSub>
            </m:sub>
          </m:sSub>
          <m:r>
            <m:rPr>
              <m:sty m:val="p"/>
            </m:rPr>
            <w:rPr>
              <w:rFonts w:ascii="Cambria Math" w:hAnsi="Cambria Math"/>
              <w:lang w:val="en-150"/>
            </w:rPr>
            <m:t>,…,</m:t>
          </m:r>
          <m:sSub>
            <m:sSubPr>
              <m:ctrlPr>
                <w:rPr>
                  <w:rFonts w:ascii="Cambria Math" w:hAnsi="Cambria Math"/>
                  <w:lang w:val="en-150"/>
                </w:rPr>
              </m:ctrlPr>
            </m:sSubPr>
            <m:e>
              <m:r>
                <w:rPr>
                  <w:rFonts w:ascii="Cambria Math" w:hAnsi="Cambria Math"/>
                  <w:lang w:val="en-150"/>
                </w:rPr>
                <m:t>α</m:t>
              </m:r>
            </m:e>
            <m:sub>
              <m:sSub>
                <m:sSubPr>
                  <m:ctrlPr>
                    <w:rPr>
                      <w:rFonts w:ascii="Cambria Math" w:hAnsi="Cambria Math"/>
                      <w:lang w:val="en-150"/>
                    </w:rPr>
                  </m:ctrlPr>
                </m:sSubPr>
                <m:e>
                  <m:r>
                    <w:rPr>
                      <w:rFonts w:ascii="Cambria Math" w:hAnsi="Cambria Math"/>
                      <w:lang w:val="en-150"/>
                    </w:rPr>
                    <m:t>i</m:t>
                  </m:r>
                </m:e>
                <m:sub>
                  <m:r>
                    <w:rPr>
                      <w:rFonts w:ascii="Cambria Math" w:hAnsi="Cambria Math"/>
                      <w:lang w:val="en-150"/>
                    </w:rPr>
                    <m:t>m</m:t>
                  </m:r>
                </m:sub>
              </m:sSub>
            </m:sub>
          </m:sSub>
          <m:r>
            <m:rPr>
              <m:sty m:val="p"/>
            </m:rPr>
            <w:rPr>
              <w:rFonts w:ascii="Cambria Math" w:hAnsi="Cambria Math"/>
              <w:lang w:val="en-150"/>
            </w:rPr>
            <m:t>⟩</m:t>
          </m:r>
          <m:r>
            <w:rPr>
              <w:lang w:val="en-150"/>
            </w:rPr>
            <w:br/>
          </m:r>
        </m:oMath>
      </m:oMathPara>
    </w:p>
    <w:p w14:paraId="4C2A0478" w14:textId="51532269" w:rsidR="008347D7" w:rsidRPr="008347D7" w:rsidRDefault="008347D7" w:rsidP="008347D7">
      <w:pPr>
        <w:rPr>
          <w:lang w:val="en-150"/>
        </w:rPr>
      </w:pPr>
      <w:r w:rsidRPr="008347D7">
        <w:rPr>
          <w:lang w:val="en-150"/>
        </w:rPr>
        <w:t xml:space="preserve">be the ordered subsequence of accepted actions extracted from </w:t>
      </w:r>
      <m:oMath>
        <m:sSub>
          <m:sSubPr>
            <m:ctrlPr>
              <w:rPr>
                <w:rFonts w:ascii="Cambria Math" w:hAnsi="Cambria Math"/>
                <w:lang w:val="en-150"/>
              </w:rPr>
            </m:ctrlPr>
          </m:sSubPr>
          <m:e>
            <m:r>
              <w:rPr>
                <w:rFonts w:ascii="Cambria Math" w:hAnsi="Cambria Math"/>
                <w:lang w:val="en-150"/>
              </w:rPr>
              <m:t>Σ</m:t>
            </m:r>
          </m:e>
          <m:sub>
            <m:r>
              <w:rPr>
                <w:rFonts w:ascii="Cambria Math" w:hAnsi="Cambria Math"/>
                <w:lang w:val="en-150"/>
              </w:rPr>
              <m:t>t</m:t>
            </m:r>
          </m:sub>
        </m:sSub>
      </m:oMath>
      <w:r w:rsidRPr="008347D7">
        <w:rPr>
          <w:lang w:val="en-150"/>
        </w:rPr>
        <w:t>. Define:</w:t>
      </w:r>
    </w:p>
    <w:p w14:paraId="02FA5487" w14:textId="75AAC0D7" w:rsidR="008347D7" w:rsidRPr="008347D7" w:rsidRDefault="00000000" w:rsidP="008347D7">
      <w:pPr>
        <w:rPr>
          <w:lang w:val="en-150"/>
        </w:rPr>
      </w:pPr>
      <m:oMathPara>
        <m:oMath>
          <m:sSubSup>
            <m:sSubSupPr>
              <m:ctrlPr>
                <w:rPr>
                  <w:rFonts w:ascii="Cambria Math" w:hAnsi="Cambria Math"/>
                  <w:lang w:val="en-150"/>
                </w:rPr>
              </m:ctrlPr>
            </m:sSubSupPr>
            <m:e>
              <m:r>
                <w:rPr>
                  <w:rFonts w:ascii="Cambria Math" w:hAnsi="Cambria Math"/>
                  <w:lang w:val="en-150"/>
                </w:rPr>
                <m:t>G</m:t>
              </m:r>
            </m:e>
            <m:sub>
              <m:r>
                <w:rPr>
                  <w:rFonts w:ascii="Cambria Math" w:hAnsi="Cambria Math"/>
                  <w:lang w:val="en-150"/>
                </w:rPr>
                <m:t>t</m:t>
              </m:r>
            </m:sub>
            <m:sup>
              <m:d>
                <m:dPr>
                  <m:ctrlPr>
                    <w:rPr>
                      <w:rFonts w:ascii="Cambria Math" w:hAnsi="Cambria Math"/>
                      <w:lang w:val="en-150"/>
                    </w:rPr>
                  </m:ctrlPr>
                </m:dPr>
                <m:e>
                  <m:r>
                    <m:rPr>
                      <m:sty m:val="p"/>
                    </m:rPr>
                    <w:rPr>
                      <w:rFonts w:ascii="Cambria Math" w:hAnsi="Cambria Math"/>
                      <w:lang w:val="en-150"/>
                    </w:rPr>
                    <m:t>0</m:t>
                  </m:r>
                </m:e>
              </m:d>
            </m:sup>
          </m:sSubSup>
          <m:r>
            <m:rPr>
              <m:sty m:val="p"/>
            </m:rPr>
            <w:rPr>
              <w:rFonts w:ascii="Cambria Math" w:hAnsi="Cambria Math"/>
              <w:lang w:val="en-150"/>
            </w:rPr>
            <m:t>=</m:t>
          </m:r>
          <m:sSub>
            <m:sSubPr>
              <m:ctrlPr>
                <w:rPr>
                  <w:rFonts w:ascii="Cambria Math" w:hAnsi="Cambria Math"/>
                  <w:lang w:val="en-150"/>
                </w:rPr>
              </m:ctrlPr>
            </m:sSubPr>
            <m:e>
              <m:r>
                <w:rPr>
                  <w:rFonts w:ascii="Cambria Math" w:hAnsi="Cambria Math"/>
                  <w:lang w:val="en-150"/>
                </w:rPr>
                <m:t>G</m:t>
              </m:r>
            </m:e>
            <m:sub>
              <m:r>
                <w:rPr>
                  <w:rFonts w:ascii="Cambria Math" w:hAnsi="Cambria Math"/>
                  <w:lang w:val="en-150"/>
                </w:rPr>
                <m:t>t</m:t>
              </m:r>
            </m:sub>
          </m:sSub>
          <m:r>
            <m:rPr>
              <m:sty m:val="p"/>
            </m:rPr>
            <w:rPr>
              <w:lang w:val="en-150"/>
            </w:rPr>
            <w:br/>
          </m:r>
        </m:oMath>
      </m:oMathPara>
    </w:p>
    <w:p w14:paraId="588965DB" w14:textId="671DB235" w:rsidR="008347D7" w:rsidRPr="008347D7" w:rsidRDefault="008347D7" w:rsidP="008347D7">
      <w:pPr>
        <w:rPr>
          <w:lang w:val="en-150"/>
        </w:rPr>
      </w:pPr>
      <w:r w:rsidRPr="008347D7">
        <w:rPr>
          <w:lang w:val="en-150"/>
        </w:rPr>
        <w:t xml:space="preserve">and for </w:t>
      </w:r>
      <m:oMath>
        <m:r>
          <w:rPr>
            <w:rFonts w:ascii="Cambria Math" w:hAnsi="Cambria Math"/>
            <w:lang w:val="en-150"/>
          </w:rPr>
          <m:t>k</m:t>
        </m:r>
        <m:r>
          <m:rPr>
            <m:sty m:val="p"/>
          </m:rPr>
          <w:rPr>
            <w:rFonts w:ascii="Cambria Math" w:hAnsi="Cambria Math"/>
            <w:lang w:val="en-150"/>
          </w:rPr>
          <m:t>=1,…,</m:t>
        </m:r>
        <m:r>
          <w:rPr>
            <w:rFonts w:ascii="Cambria Math" w:hAnsi="Cambria Math"/>
            <w:lang w:val="en-150"/>
          </w:rPr>
          <m:t>m</m:t>
        </m:r>
      </m:oMath>
      <w:r w:rsidRPr="008347D7">
        <w:rPr>
          <w:lang w:val="en-150"/>
        </w:rPr>
        <w:t>,</w:t>
      </w:r>
    </w:p>
    <w:p w14:paraId="2A155FD9" w14:textId="4EE9E423" w:rsidR="008347D7" w:rsidRPr="008347D7" w:rsidRDefault="00000000" w:rsidP="008347D7">
      <w:pPr>
        <w:rPr>
          <w:lang w:val="en-150"/>
        </w:rPr>
      </w:pPr>
      <m:oMathPara>
        <m:oMath>
          <m:sSubSup>
            <m:sSubSupPr>
              <m:ctrlPr>
                <w:rPr>
                  <w:rFonts w:ascii="Cambria Math" w:hAnsi="Cambria Math"/>
                  <w:lang w:val="en-150"/>
                </w:rPr>
              </m:ctrlPr>
            </m:sSubSupPr>
            <m:e>
              <m:r>
                <w:rPr>
                  <w:rFonts w:ascii="Cambria Math" w:hAnsi="Cambria Math"/>
                  <w:lang w:val="en-150"/>
                </w:rPr>
                <m:t>G</m:t>
              </m:r>
            </m:e>
            <m:sub>
              <m:r>
                <w:rPr>
                  <w:rFonts w:ascii="Cambria Math" w:hAnsi="Cambria Math"/>
                  <w:lang w:val="en-150"/>
                </w:rPr>
                <m:t>t</m:t>
              </m:r>
            </m:sub>
            <m:sup>
              <m:d>
                <m:dPr>
                  <m:ctrlPr>
                    <w:rPr>
                      <w:rFonts w:ascii="Cambria Math" w:hAnsi="Cambria Math"/>
                      <w:lang w:val="en-150"/>
                    </w:rPr>
                  </m:ctrlPr>
                </m:dPr>
                <m:e>
                  <m:r>
                    <w:rPr>
                      <w:rFonts w:ascii="Cambria Math" w:hAnsi="Cambria Math"/>
                      <w:lang w:val="en-150"/>
                    </w:rPr>
                    <m:t>k</m:t>
                  </m:r>
                </m:e>
              </m:d>
            </m:sup>
          </m:sSubSup>
          <m:r>
            <m:rPr>
              <m:sty m:val="p"/>
            </m:rPr>
            <w:rPr>
              <w:rFonts w:ascii="Cambria Math" w:hAnsi="Cambria Math"/>
              <w:lang w:val="en-150"/>
            </w:rPr>
            <m:t>=</m:t>
          </m:r>
          <m:r>
            <m:rPr>
              <m:scr m:val="sans-serif"/>
            </m:rPr>
            <w:rPr>
              <w:rFonts w:ascii="Cambria Math" w:hAnsi="Cambria Math"/>
              <w:lang w:val="en-150"/>
            </w:rPr>
            <m:t>apply</m:t>
          </m:r>
          <m:r>
            <m:rPr>
              <m:sty m:val="p"/>
            </m:rPr>
            <w:rPr>
              <w:rFonts w:ascii="Cambria Math" w:hAnsi="Cambria Math"/>
              <w:lang w:val="en-150"/>
            </w:rPr>
            <m:t>(</m:t>
          </m:r>
          <m:sSubSup>
            <m:sSubSupPr>
              <m:ctrlPr>
                <w:rPr>
                  <w:rFonts w:ascii="Cambria Math" w:hAnsi="Cambria Math"/>
                  <w:lang w:val="en-150"/>
                </w:rPr>
              </m:ctrlPr>
            </m:sSubSupPr>
            <m:e>
              <m:r>
                <w:rPr>
                  <w:rFonts w:ascii="Cambria Math" w:hAnsi="Cambria Math"/>
                  <w:lang w:val="en-150"/>
                </w:rPr>
                <m:t>G</m:t>
              </m:r>
            </m:e>
            <m:sub>
              <m:r>
                <w:rPr>
                  <w:rFonts w:ascii="Cambria Math" w:hAnsi="Cambria Math"/>
                  <w:lang w:val="en-150"/>
                </w:rPr>
                <m:t>t</m:t>
              </m:r>
            </m:sub>
            <m:sup>
              <m:d>
                <m:dPr>
                  <m:sepChr m:val="−"/>
                  <m:ctrlPr>
                    <w:rPr>
                      <w:rFonts w:ascii="Cambria Math" w:hAnsi="Cambria Math"/>
                      <w:lang w:val="en-150"/>
                    </w:rPr>
                  </m:ctrlPr>
                </m:dPr>
                <m:e>
                  <m:r>
                    <w:rPr>
                      <w:rFonts w:ascii="Cambria Math" w:hAnsi="Cambria Math"/>
                      <w:lang w:val="en-150"/>
                    </w:rPr>
                    <m:t>k</m:t>
                  </m:r>
                </m:e>
                <m:e>
                  <m:r>
                    <m:rPr>
                      <m:sty m:val="p"/>
                    </m:rPr>
                    <w:rPr>
                      <w:rFonts w:ascii="Cambria Math" w:hAnsi="Cambria Math"/>
                      <w:lang w:val="en-150"/>
                    </w:rPr>
                    <m:t>1</m:t>
                  </m:r>
                </m:e>
              </m:d>
            </m:sup>
          </m:sSubSup>
          <m:r>
            <m:rPr>
              <m:sty m:val="p"/>
            </m:rPr>
            <w:rPr>
              <w:rFonts w:ascii="Cambria Math" w:hAnsi="Cambria Math"/>
              <w:lang w:val="en-150"/>
            </w:rPr>
            <m:t>,</m:t>
          </m:r>
          <m:sSub>
            <m:sSubPr>
              <m:ctrlPr>
                <w:rPr>
                  <w:rFonts w:ascii="Cambria Math" w:hAnsi="Cambria Math"/>
                  <w:lang w:val="en-150"/>
                </w:rPr>
              </m:ctrlPr>
            </m:sSubPr>
            <m:e>
              <m:r>
                <w:rPr>
                  <w:rFonts w:ascii="Cambria Math" w:hAnsi="Cambria Math"/>
                  <w:lang w:val="en-150"/>
                </w:rPr>
                <m:t>α</m:t>
              </m:r>
            </m:e>
            <m:sub>
              <m:sSub>
                <m:sSubPr>
                  <m:ctrlPr>
                    <w:rPr>
                      <w:rFonts w:ascii="Cambria Math" w:hAnsi="Cambria Math"/>
                      <w:lang w:val="en-150"/>
                    </w:rPr>
                  </m:ctrlPr>
                </m:sSubPr>
                <m:e>
                  <m:r>
                    <w:rPr>
                      <w:rFonts w:ascii="Cambria Math" w:hAnsi="Cambria Math"/>
                      <w:lang w:val="en-150"/>
                    </w:rPr>
                    <m:t>i</m:t>
                  </m:r>
                </m:e>
                <m:sub>
                  <m:r>
                    <w:rPr>
                      <w:rFonts w:ascii="Cambria Math" w:hAnsi="Cambria Math"/>
                      <w:lang w:val="en-150"/>
                    </w:rPr>
                    <m:t>k</m:t>
                  </m:r>
                </m:sub>
              </m:sSub>
            </m:sub>
          </m:sSub>
          <m:r>
            <m:rPr>
              <m:sty m:val="p"/>
            </m:rPr>
            <w:rPr>
              <w:rFonts w:ascii="Cambria Math" w:hAnsi="Cambria Math"/>
              <w:lang w:val="en-150"/>
            </w:rPr>
            <m:t>)</m:t>
          </m:r>
          <m:r>
            <w:rPr>
              <w:lang w:val="en-150"/>
            </w:rPr>
            <w:br/>
          </m:r>
        </m:oMath>
      </m:oMathPara>
    </w:p>
    <w:p w14:paraId="110AD7C9" w14:textId="6130FEC1" w:rsidR="008347D7" w:rsidRPr="008347D7" w:rsidRDefault="008347D7" w:rsidP="008347D7">
      <w:pPr>
        <w:rPr>
          <w:lang w:val="en-150"/>
        </w:rPr>
      </w:pPr>
      <w:r w:rsidRPr="008347D7">
        <w:rPr>
          <w:lang w:val="en-150"/>
        </w:rPr>
        <w:lastRenderedPageBreak/>
        <w:t xml:space="preserve">where </w:t>
      </w:r>
      <m:oMath>
        <m:r>
          <m:rPr>
            <m:scr m:val="sans-serif"/>
          </m:rPr>
          <w:rPr>
            <w:rFonts w:ascii="Cambria Math" w:hAnsi="Cambria Math"/>
            <w:lang w:val="en-150"/>
          </w:rPr>
          <m:t>apply</m:t>
        </m:r>
      </m:oMath>
      <w:r w:rsidRPr="008347D7">
        <w:rPr>
          <w:lang w:val="en-150"/>
        </w:rPr>
        <w:t>is the deterministic single-action state transition operator. The successor state is then:</w:t>
      </w:r>
    </w:p>
    <w:p w14:paraId="6804E63A" w14:textId="1C6F3A51" w:rsidR="008347D7" w:rsidRPr="008347D7" w:rsidRDefault="00000000" w:rsidP="008347D7">
      <w:pPr>
        <w:rPr>
          <w:lang w:val="en-150"/>
        </w:rPr>
      </w:pPr>
      <m:oMathPara>
        <m:oMath>
          <m:sSub>
            <m:sSubPr>
              <m:ctrlPr>
                <w:rPr>
                  <w:rFonts w:ascii="Cambria Math" w:hAnsi="Cambria Math"/>
                  <w:lang w:val="en-150"/>
                </w:rPr>
              </m:ctrlPr>
            </m:sSubPr>
            <m:e>
              <m:r>
                <w:rPr>
                  <w:rFonts w:ascii="Cambria Math" w:hAnsi="Cambria Math"/>
                  <w:lang w:val="en-150"/>
                </w:rPr>
                <m:t>G</m:t>
              </m:r>
            </m:e>
            <m:sub>
              <m:r>
                <w:rPr>
                  <w:rFonts w:ascii="Cambria Math" w:hAnsi="Cambria Math"/>
                  <w:lang w:val="en-150"/>
                </w:rPr>
                <m:t>t</m:t>
              </m:r>
              <m:r>
                <m:rPr>
                  <m:sty m:val="p"/>
                </m:rPr>
                <w:rPr>
                  <w:rFonts w:ascii="Cambria Math" w:hAnsi="Cambria Math"/>
                  <w:lang w:val="en-150"/>
                </w:rPr>
                <m:t>+1</m:t>
              </m:r>
            </m:sub>
          </m:sSub>
          <m:r>
            <m:rPr>
              <m:sty m:val="p"/>
            </m:rPr>
            <w:rPr>
              <w:rFonts w:ascii="Cambria Math" w:hAnsi="Cambria Math"/>
              <w:lang w:val="en-150"/>
            </w:rPr>
            <m:t>=</m:t>
          </m:r>
          <m:sSubSup>
            <m:sSubSupPr>
              <m:ctrlPr>
                <w:rPr>
                  <w:rFonts w:ascii="Cambria Math" w:hAnsi="Cambria Math"/>
                  <w:lang w:val="en-150"/>
                </w:rPr>
              </m:ctrlPr>
            </m:sSubSupPr>
            <m:e>
              <m:r>
                <w:rPr>
                  <w:rFonts w:ascii="Cambria Math" w:hAnsi="Cambria Math"/>
                  <w:lang w:val="en-150"/>
                </w:rPr>
                <m:t>G</m:t>
              </m:r>
            </m:e>
            <m:sub>
              <m:r>
                <w:rPr>
                  <w:rFonts w:ascii="Cambria Math" w:hAnsi="Cambria Math"/>
                  <w:lang w:val="en-150"/>
                </w:rPr>
                <m:t>t</m:t>
              </m:r>
            </m:sub>
            <m:sup>
              <m:d>
                <m:dPr>
                  <m:ctrlPr>
                    <w:rPr>
                      <w:rFonts w:ascii="Cambria Math" w:hAnsi="Cambria Math"/>
                      <w:lang w:val="en-150"/>
                    </w:rPr>
                  </m:ctrlPr>
                </m:dPr>
                <m:e>
                  <m:r>
                    <w:rPr>
                      <w:rFonts w:ascii="Cambria Math" w:hAnsi="Cambria Math"/>
                      <w:lang w:val="en-150"/>
                    </w:rPr>
                    <m:t>m</m:t>
                  </m:r>
                </m:e>
              </m:d>
            </m:sup>
          </m:sSubSup>
          <m:r>
            <m:rPr>
              <m:sty m:val="p"/>
            </m:rPr>
            <w:rPr>
              <w:lang w:val="en-150"/>
            </w:rPr>
            <w:br/>
          </m:r>
        </m:oMath>
      </m:oMathPara>
    </w:p>
    <w:p w14:paraId="1F011F5B" w14:textId="77777777" w:rsidR="008347D7" w:rsidRPr="008347D7" w:rsidRDefault="008347D7" w:rsidP="008347D7">
      <w:pPr>
        <w:rPr>
          <w:lang w:val="en-150"/>
        </w:rPr>
      </w:pPr>
      <w:r w:rsidRPr="008347D7">
        <w:rPr>
          <w:lang w:val="en-150"/>
        </w:rPr>
        <w:t>Atomicity remains semantic: intermediate states are not externally visible within the transition step, aligning with classical transaction-oriented notions of atomic commit (</w:t>
      </w:r>
      <w:proofErr w:type="spellStart"/>
      <w:r w:rsidRPr="008347D7">
        <w:rPr>
          <w:lang w:val="en-150"/>
        </w:rPr>
        <w:t>Haerder</w:t>
      </w:r>
      <w:proofErr w:type="spellEnd"/>
      <w:r w:rsidRPr="008347D7">
        <w:rPr>
          <w:lang w:val="en-150"/>
        </w:rPr>
        <w:t xml:space="preserve"> &amp; Reuter, 1983). We do not claim a particular implementation-level concurrency control mechanism; the semantics defines a single-step state transition whose internal commit order follows the accepted schedule subsequence.</w:t>
      </w:r>
    </w:p>
    <w:p w14:paraId="22AC3B56" w14:textId="77777777" w:rsidR="00D07B66" w:rsidRDefault="00000000">
      <w:pPr>
        <w:pStyle w:val="Heading4"/>
      </w:pPr>
      <w:r>
        <w:t>Transition trace and completeness</w:t>
      </w:r>
    </w:p>
    <w:p w14:paraId="446D0CFC" w14:textId="77777777" w:rsidR="00D07B66" w:rsidRDefault="00000000">
      <w:pPr>
        <w:pStyle w:val="FirstParagraph"/>
      </w:pPr>
      <w:r>
        <w:t>Each transition produces a pair $(G_{t+1}, \Lambda_t)$, where the trace $\Lambda_t$ is a structured record containing at least: - an identifier and fingerprint for $(G_t, \mathit{winid}</w:t>
      </w:r>
      <w:r>
        <w:rPr>
          <w:i/>
          <w:iCs/>
        </w:rPr>
        <w:t>t, C_t)$, - the set of enabled rule instances and their bindings, - the constructed action instances with their provenance and scheduling keys, - the schedule $\Sigma_t$, - the sequence of admissibility checks performed by the resolver (inputs and boolean results), - for each rejected action $\alpha_i$, a deterministic rejection witness indicating that $\mathit{Adm}_t(B</w:t>
      </w:r>
      <w:r>
        <w:t xml:space="preserve"> \cup {\alpha_i})$ failed, - the committed action set $B_t$ and the committed effect $\Delta(B_t)$.</w:t>
      </w:r>
    </w:p>
    <w:p w14:paraId="269808F9" w14:textId="67EF1DF4" w:rsidR="00D07B66" w:rsidRDefault="00000000">
      <w:pPr>
        <w:pStyle w:val="BodyText"/>
      </w:pPr>
      <w:r>
        <w:t xml:space="preserve">The trace structure is inspired by update provenance and change history approaches that link updates to reconstructible records (Halpin &amp; Cheney, 2014). </w:t>
      </w:r>
      <w:r w:rsidR="008347D7" w:rsidRPr="008347D7">
        <w:t xml:space="preserve">In the present prototype, replay-oriented adequacy is defined as the property that the recorded trace, together with the fixed inputs and validation semantics, supports reproducibility checking of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008347D7" w:rsidRPr="008347D7">
        <w:t xml:space="preserve">and </w:t>
      </w:r>
      <m:oMath>
        <m:sSub>
          <m:sSubPr>
            <m:ctrlPr>
              <w:rPr>
                <w:rFonts w:ascii="Cambria Math" w:hAnsi="Cambria Math"/>
              </w:rPr>
            </m:ctrlPr>
          </m:sSubPr>
          <m:e>
            <m:r>
              <w:rPr>
                <w:rFonts w:ascii="Cambria Math" w:hAnsi="Cambria Math"/>
              </w:rPr>
              <m:t>G</m:t>
            </m:r>
          </m:e>
          <m:sub>
            <m:r>
              <w:rPr>
                <w:rFonts w:ascii="Cambria Math" w:hAnsi="Cambria Math"/>
              </w:rPr>
              <m:t>t+1</m:t>
            </m:r>
          </m:sub>
        </m:sSub>
      </m:oMath>
      <w:r w:rsidR="008347D7" w:rsidRPr="008347D7">
        <w:t>.</w:t>
      </w:r>
    </w:p>
    <w:p w14:paraId="319D01BD" w14:textId="77777777" w:rsidR="00D07B66" w:rsidRDefault="00000000">
      <w:pPr>
        <w:pStyle w:val="Heading3"/>
      </w:pPr>
      <w:bookmarkStart w:id="42" w:name="Xeb095c05da4fbe43ae6584f3e8277a56b469dd7"/>
      <w:bookmarkEnd w:id="39"/>
      <w:bookmarkEnd w:id="41"/>
      <w:r>
        <w:t>Determinism theorem (with explicit assumptions)</w:t>
      </w:r>
    </w:p>
    <w:p w14:paraId="6F587BDC" w14:textId="77777777" w:rsidR="00D07B66" w:rsidRDefault="00000000">
      <w:pPr>
        <w:pStyle w:val="FirstParagraph"/>
      </w:pPr>
      <w:r>
        <w:rPr>
          <w:b/>
          <w:bCs/>
        </w:rPr>
        <w:t>Proposition (Deterministic successor-state semantics).</w:t>
      </w:r>
      <w:r>
        <w:t xml:space="preserve"> Fix a window function $\mathit{Win}$, an entailment/evaluation regime $\mathcal{E}$, a deterministic validation semantics for $\mathit{Inv}$, and the scheduling and resolution mechanisms defined above. For every configuration $(G_t, S, R, C_t)$ and evaluation point $t$, the semantics yields a unique schedule $\Sigma_t$, a unique accepted action set $B_t$, a unique successor graph state $G_{t+1}$, and a unique trace $\Lambda_t$.</w:t>
      </w:r>
    </w:p>
    <w:p w14:paraId="30949CB6" w14:textId="77777777" w:rsidR="00D07B66" w:rsidRDefault="00000000">
      <w:pPr>
        <w:pStyle w:val="BodyText"/>
      </w:pPr>
      <w:r>
        <w:rPr>
          <w:i/>
          <w:iCs/>
        </w:rPr>
        <w:t>Justification sketch.</w:t>
      </w:r>
      <w:r>
        <w:t xml:space="preserve"> Under fixed $\mathit{Win}$, $S_t$ is unique. Under fixed $\mathcal{E}$ and fixed governance semantics, enablement is deterministic, producing a unique set of enabled rule instances and thus a unique set of action instances with unique provenance identifiers. The scheduling key $\kappa_t$ is deterministic and total on action instances, hence $\Sigma_t$ is unique. The resolver iterates deterministically and depends only on $\Sigma_t$ and deterministic admissibility evaluation, so $B_t$ is unique. Therefore the committed effect and successor state are unique, and the trace is uniquely determined by the recorded artifacts.</w:t>
      </w:r>
    </w:p>
    <w:p w14:paraId="504CBA46" w14:textId="77777777" w:rsidR="00D07B66" w:rsidRDefault="00000000">
      <w:pPr>
        <w:pStyle w:val="BodyText"/>
      </w:pPr>
      <w:r>
        <w:lastRenderedPageBreak/>
        <w:t>This proposition is intentionally stated with explicit fixed semantic components, reflecting the lesson from stream processing and RDF stream processing that operational choices must be made explicit if deterministic behavior is expected (Dell’Aglio et al., 2013; Dell’Aglio et al., 2014).</w:t>
      </w:r>
    </w:p>
    <w:p w14:paraId="2A92E633" w14:textId="77777777" w:rsidR="00D07B66" w:rsidRDefault="00000000">
      <w:pPr>
        <w:pStyle w:val="Heading2"/>
      </w:pPr>
      <w:bookmarkStart w:id="43" w:name="governance-and-invariants"/>
      <w:bookmarkEnd w:id="17"/>
      <w:bookmarkEnd w:id="42"/>
      <w:r>
        <w:t>Governance and Invariants</w:t>
      </w:r>
    </w:p>
    <w:p w14:paraId="6095F30A" w14:textId="77777777" w:rsidR="00D07B66" w:rsidRDefault="00000000">
      <w:pPr>
        <w:pStyle w:val="Heading3"/>
      </w:pPr>
      <w:bookmarkStart w:id="44" w:name="governance-as-part-of-execution-meaning"/>
      <w:r>
        <w:t>Governance as part of execution meaning</w:t>
      </w:r>
    </w:p>
    <w:p w14:paraId="7399AF88" w14:textId="77777777" w:rsidR="00D07B66" w:rsidRDefault="00000000">
      <w:pPr>
        <w:pStyle w:val="FirstParagraph"/>
      </w:pPr>
      <w:r>
        <w:t>Governance is not treated as an external post-filter. It enters the semantics in four places:</w:t>
      </w:r>
    </w:p>
    <w:p w14:paraId="69EFD9A2" w14:textId="77777777" w:rsidR="00D07B66" w:rsidRDefault="00000000">
      <w:pPr>
        <w:pStyle w:val="Compact"/>
        <w:numPr>
          <w:ilvl w:val="0"/>
          <w:numId w:val="5"/>
        </w:numPr>
      </w:pPr>
      <w:r>
        <w:rPr>
          <w:b/>
          <w:bCs/>
        </w:rPr>
        <w:t>Enablement:</w:t>
      </w:r>
      <w:r>
        <w:t xml:space="preserve"> $C_t \models U_r^\theta$ can prevent a rule instance from being enabled. This aligns with access control models that restrict which operations are permitted under a given principal and context (Sandhu et al., 1996; Kirrane et al., 2017).</w:t>
      </w:r>
    </w:p>
    <w:p w14:paraId="317D04FA" w14:textId="77777777" w:rsidR="00D07B66" w:rsidRDefault="00000000">
      <w:pPr>
        <w:pStyle w:val="Compact"/>
        <w:numPr>
          <w:ilvl w:val="0"/>
          <w:numId w:val="5"/>
        </w:numPr>
      </w:pPr>
      <w:r>
        <w:rPr>
          <w:b/>
          <w:bCs/>
        </w:rPr>
        <w:t>Ordering:</w:t>
      </w:r>
      <w:r>
        <w:t xml:space="preserve"> $\mathit{roleRank}_{C_t}$ affects the schedule, enabling deterministic precedence patterns such as emergency overrides.</w:t>
      </w:r>
    </w:p>
    <w:p w14:paraId="2434BE98" w14:textId="77777777" w:rsidR="00D07B66" w:rsidRDefault="00000000">
      <w:pPr>
        <w:pStyle w:val="Compact"/>
        <w:numPr>
          <w:ilvl w:val="0"/>
          <w:numId w:val="5"/>
        </w:numPr>
      </w:pPr>
      <w:r>
        <w:rPr>
          <w:b/>
          <w:bCs/>
        </w:rPr>
        <w:t>Admissibility:</w:t>
      </w:r>
      <w:r>
        <w:t xml:space="preserve"> governance invariants in $I^G$ constrain successor states relative to context, consistent with RDF access control approaches that constrain what data changes or views are permitted (Flouris et al., 2010; Gabillon &amp; Letouzey, 2010; Costabello et al., 2012).</w:t>
      </w:r>
    </w:p>
    <w:p w14:paraId="1680838B" w14:textId="77777777" w:rsidR="00D07B66" w:rsidRDefault="00000000">
      <w:pPr>
        <w:pStyle w:val="Compact"/>
        <w:numPr>
          <w:ilvl w:val="0"/>
          <w:numId w:val="5"/>
        </w:numPr>
      </w:pPr>
      <w:r>
        <w:rPr>
          <w:b/>
          <w:bCs/>
        </w:rPr>
        <w:t>Accountability:</w:t>
      </w:r>
      <w:r>
        <w:t xml:space="preserve"> the trace records which role context influenced enablement, ordering, and admissibility outcomes, enabling audit reconstruction.</w:t>
      </w:r>
    </w:p>
    <w:p w14:paraId="5B43396C" w14:textId="77777777" w:rsidR="00D07B66" w:rsidRDefault="00000000">
      <w:pPr>
        <w:pStyle w:val="Heading3"/>
      </w:pPr>
      <w:bookmarkStart w:id="45" w:name="Xd16929daa023ab631541317a93d35fc0f774e19"/>
      <w:bookmarkEnd w:id="44"/>
      <w:r>
        <w:t>Safety invariants and validation semantics</w:t>
      </w:r>
    </w:p>
    <w:p w14:paraId="3CFEBA7A" w14:textId="77777777" w:rsidR="00D07B66" w:rsidRDefault="00000000">
      <w:pPr>
        <w:pStyle w:val="FirstParagraph"/>
      </w:pPr>
      <w:r>
        <w:t>Safety invariants constrain physical or operational safety conditions. The semantics does not prescribe a specific constraint language, but it requires that the invariant semantics be fixed and deterministic. Given the prevalence of SHACL-like constraints for RDF graph validation and repair contexts, and the existence of formal semantics for recursive constraints, SHACL validation semantics is an appropriate instantiation target (Corman et al., 2018). When safety constraints are meant to interact with ontological background knowledge, the combined semantics must be explicitly chosen; this matters because SHACL is typically closed-world while description-logic reasoning is open-world, and their interaction is nontrivial (Oudshoorn et al., 2026).</w:t>
      </w:r>
    </w:p>
    <w:p w14:paraId="1344B6C9" w14:textId="77777777" w:rsidR="00D07B66" w:rsidRDefault="00000000">
      <w:pPr>
        <w:pStyle w:val="Heading3"/>
      </w:pPr>
      <w:bookmarkStart w:id="46" w:name="X09b582e2df7cd703bacc3da0fc630651006f98c"/>
      <w:bookmarkEnd w:id="45"/>
      <w:r>
        <w:t>Worked micro-example: why governance and determinism must cohabit</w:t>
      </w:r>
    </w:p>
    <w:p w14:paraId="4E24F60A" w14:textId="77777777" w:rsidR="00D07B66" w:rsidRDefault="00000000">
      <w:pPr>
        <w:pStyle w:val="FirstParagraph"/>
      </w:pPr>
      <w:r>
        <w:t>Consider a building semantic digital twin whose state $G_t$ includes current temperature, occupancy, and a control mode. At evaluation point $t$ two events occur in $S_t$: - an occupant request to increase setpoint, - a demand-response signal indicating a pricing peak.</w:t>
      </w:r>
    </w:p>
    <w:p w14:paraId="7AFFC03C" w14:textId="77777777" w:rsidR="00D07B66" w:rsidRDefault="00000000">
      <w:pPr>
        <w:pStyle w:val="BodyText"/>
      </w:pPr>
      <w:r>
        <w:t>Two rules are enabled: - $r_1$ (occupant comfort) constructs an action to raise setpoint, - $r_2$ (energy management) constructs an action to cap setpoint.</w:t>
      </w:r>
    </w:p>
    <w:p w14:paraId="407EBF80" w14:textId="77777777" w:rsidR="00D07B66" w:rsidRDefault="00000000">
      <w:pPr>
        <w:pStyle w:val="BodyText"/>
      </w:pPr>
      <w:r>
        <w:lastRenderedPageBreak/>
        <w:t>Without a deterministic schedule and governance-aware admissibility, the committed action could depend on platform-dependent ordering, leading to different successor states under the same input. Under the proposed semantics, role precedence and priorities determine a unique schedule, and governance invariants can forbid occupant-issued actions that exceed allowed ranges, making the committed result both deterministic and policy-consistent.</w:t>
      </w:r>
    </w:p>
    <w:p w14:paraId="59855529" w14:textId="77777777" w:rsidR="00D07B66" w:rsidRDefault="00000000">
      <w:pPr>
        <w:pStyle w:val="Heading2"/>
      </w:pPr>
      <w:bookmarkStart w:id="47" w:name="X2f04dca4053a19a8a2cd1097e06078307577a16"/>
      <w:bookmarkEnd w:id="43"/>
      <w:bookmarkEnd w:id="46"/>
      <w:r>
        <w:t>Evaluation Design and Validation Strategy</w:t>
      </w:r>
    </w:p>
    <w:p w14:paraId="6B20E08E" w14:textId="77777777" w:rsidR="00D07B66" w:rsidRDefault="00000000">
      <w:pPr>
        <w:pStyle w:val="Heading3"/>
      </w:pPr>
      <w:bookmarkStart w:id="48" w:name="evaluation-overview"/>
      <w:r>
        <w:t>Evaluation overview</w:t>
      </w:r>
    </w:p>
    <w:p w14:paraId="67539F8B" w14:textId="77777777" w:rsidR="00D07B66" w:rsidRDefault="00000000">
      <w:pPr>
        <w:pStyle w:val="FirstParagraph"/>
      </w:pPr>
      <w:r>
        <w:t>The evaluation is designed to test the paper’s claims beyond restating definitions. We validate that (i) the semantics eliminates schedule-induced nondeterminism, (ii) runtime resolution preserves invariants, (iii) governance changes are reflected deterministically, and (iv) traces support audit reconstruction. We also discuss scalability by analyzing resolution cost as a function of candidate action set size and validation cost.</w:t>
      </w:r>
    </w:p>
    <w:p w14:paraId="74FF7662" w14:textId="77777777" w:rsidR="008347D7" w:rsidRPr="008347D7" w:rsidRDefault="008347D7" w:rsidP="008347D7">
      <w:pPr>
        <w:pStyle w:val="Heading3"/>
        <w:rPr>
          <w:lang w:val="en-150"/>
        </w:rPr>
      </w:pPr>
      <w:bookmarkStart w:id="49" w:name="baselines"/>
      <w:bookmarkEnd w:id="48"/>
      <w:r w:rsidRPr="008347D7">
        <w:rPr>
          <w:lang w:val="en-150"/>
        </w:rPr>
        <w:t>Case study: building-inspired semantic digital twin control benchmark</w:t>
      </w:r>
    </w:p>
    <w:p w14:paraId="076D75C1" w14:textId="77777777" w:rsidR="008347D7" w:rsidRPr="008347D7" w:rsidRDefault="008347D7" w:rsidP="008347D7">
      <w:pPr>
        <w:rPr>
          <w:lang w:val="en-150"/>
        </w:rPr>
      </w:pPr>
      <w:r w:rsidRPr="008347D7">
        <w:rPr>
          <w:lang w:val="en-150"/>
        </w:rPr>
        <w:t xml:space="preserve">We use a controlled building-inspired semantic digital twin benchmark in the built environment, where RDF models and semantic constraints are natural </w:t>
      </w:r>
      <w:proofErr w:type="spellStart"/>
      <w:r w:rsidRPr="008347D7">
        <w:rPr>
          <w:lang w:val="en-150"/>
        </w:rPr>
        <w:t>modeling</w:t>
      </w:r>
      <w:proofErr w:type="spellEnd"/>
      <w:r w:rsidRPr="008347D7">
        <w:rPr>
          <w:lang w:val="en-150"/>
        </w:rPr>
        <w:t xml:space="preserve"> choices. The benchmark integrates:</w:t>
      </w:r>
    </w:p>
    <w:p w14:paraId="0D4B332D" w14:textId="77777777" w:rsidR="008347D7" w:rsidRPr="008347D7" w:rsidRDefault="008347D7" w:rsidP="008347D7">
      <w:pPr>
        <w:rPr>
          <w:lang w:val="en-150"/>
        </w:rPr>
      </w:pPr>
      <w:r w:rsidRPr="008347D7">
        <w:rPr>
          <w:lang w:val="en-150"/>
        </w:rPr>
        <w:t>an RDF state graph capturing zones, setpoints, ventilation state, and emergency state,</w:t>
      </w:r>
    </w:p>
    <w:p w14:paraId="18F6F275" w14:textId="77777777" w:rsidR="008347D7" w:rsidRPr="008347D7" w:rsidRDefault="008347D7" w:rsidP="008347D7">
      <w:pPr>
        <w:rPr>
          <w:lang w:val="en-150"/>
        </w:rPr>
      </w:pPr>
      <w:r w:rsidRPr="008347D7">
        <w:rPr>
          <w:lang w:val="en-150"/>
        </w:rPr>
        <w:t>event streams for occupancy, CO₂, demand response, preheating, and emergency control,</w:t>
      </w:r>
    </w:p>
    <w:p w14:paraId="54C03351" w14:textId="77777777" w:rsidR="008347D7" w:rsidRPr="008347D7" w:rsidRDefault="008347D7" w:rsidP="008347D7">
      <w:pPr>
        <w:rPr>
          <w:lang w:val="en-150"/>
        </w:rPr>
      </w:pPr>
      <w:r w:rsidRPr="008347D7">
        <w:rPr>
          <w:lang w:val="en-150"/>
        </w:rPr>
        <w:t>governance context reflecting different actors (operator, occupant, emergency role).</w:t>
      </w:r>
    </w:p>
    <w:p w14:paraId="6C7D88D5" w14:textId="77777777" w:rsidR="008347D7" w:rsidRPr="008347D7" w:rsidRDefault="008347D7" w:rsidP="008347D7">
      <w:pPr>
        <w:rPr>
          <w:lang w:val="en-150"/>
        </w:rPr>
      </w:pPr>
      <w:r w:rsidRPr="008347D7">
        <w:rPr>
          <w:lang w:val="en-150"/>
        </w:rPr>
        <w:t>The benchmark is designed to exercise deterministic scheduling, admissibility-based resolution, governance-sensitive ordering, and replay-oriented tracing under concurrent rule activation, while remaining aligned with recent semantic digital twin work in building automation and control (Donkers et al., 2024; Pereira et al., 2025).</w:t>
      </w:r>
    </w:p>
    <w:p w14:paraId="1C92564D" w14:textId="77777777" w:rsidR="00D07B66" w:rsidRDefault="00000000">
      <w:pPr>
        <w:pStyle w:val="Heading3"/>
      </w:pPr>
      <w:r>
        <w:t>Baselines</w:t>
      </w:r>
    </w:p>
    <w:p w14:paraId="1BDF339C" w14:textId="6B39E295" w:rsidR="008347D7" w:rsidRPr="008347D7" w:rsidRDefault="008347D7" w:rsidP="008347D7">
      <w:bookmarkStart w:id="50" w:name="experiments-and-metrics"/>
      <w:bookmarkEnd w:id="49"/>
      <w:r w:rsidRPr="008347D7">
        <w:t>We compare the proposed semantics against one weaker but relevant baseline:</w:t>
      </w:r>
    </w:p>
    <w:p w14:paraId="155028F1" w14:textId="77777777" w:rsidR="008347D7" w:rsidRDefault="008347D7" w:rsidP="008347D7">
      <w:r w:rsidRPr="008347D7">
        <w:t xml:space="preserve">Nondeterministic scheduling baseline. The baseline preserves the same rule evaluation and admissibility-based resolution </w:t>
      </w:r>
      <w:proofErr w:type="gramStart"/>
      <w:r w:rsidRPr="008347D7">
        <w:t>mechanism, but</w:t>
      </w:r>
      <w:proofErr w:type="gramEnd"/>
      <w:r w:rsidRPr="008347D7">
        <w:t xml:space="preserve"> replaces deterministic action ordering with arbitrary schedule order. This mirrors the practical reality that many systems do not guarantee a stable firing order unless explicitly specified (Paton &amp; Díaz, 1999).</w:t>
      </w:r>
    </w:p>
    <w:p w14:paraId="2785D133" w14:textId="7CC4647E" w:rsidR="00D07B66" w:rsidRDefault="00000000" w:rsidP="008347D7">
      <w:pPr>
        <w:pStyle w:val="Heading3"/>
      </w:pPr>
      <w:r>
        <w:t>Experiments and metrics</w:t>
      </w:r>
    </w:p>
    <w:p w14:paraId="53B75616" w14:textId="77777777" w:rsidR="00D07B66" w:rsidRDefault="00000000">
      <w:pPr>
        <w:pStyle w:val="Heading4"/>
      </w:pPr>
      <w:bookmarkStart w:id="51" w:name="determinism-under-repeated-runs"/>
      <w:r>
        <w:t>Determinism under repeated runs</w:t>
      </w:r>
    </w:p>
    <w:p w14:paraId="3B6E6B8D" w14:textId="77777777" w:rsidR="00D07B66" w:rsidRDefault="00000000">
      <w:pPr>
        <w:pStyle w:val="FirstParagraph"/>
      </w:pPr>
      <w:r>
        <w:t xml:space="preserve">For a fixed configuration $(G_t, S_t, R, C_t)$, run the interpreter multiple times. Measure: - </w:t>
      </w:r>
      <w:r>
        <w:rPr>
          <w:b/>
          <w:bCs/>
        </w:rPr>
        <w:t>Outcome determinism:</w:t>
      </w:r>
      <w:r>
        <w:t xml:space="preserve"> whether the successor states match exactly. - </w:t>
      </w:r>
      <w:r>
        <w:rPr>
          <w:b/>
          <w:bCs/>
        </w:rPr>
        <w:t xml:space="preserve">Trace </w:t>
      </w:r>
      <w:r>
        <w:rPr>
          <w:b/>
          <w:bCs/>
        </w:rPr>
        <w:lastRenderedPageBreak/>
        <w:t>determinism:</w:t>
      </w:r>
      <w:r>
        <w:t xml:space="preserve"> whether traces match at the level of enabled instances, schedule, decisions, and committed effects.</w:t>
      </w:r>
    </w:p>
    <w:p w14:paraId="7A97C584" w14:textId="77777777" w:rsidR="008347D7" w:rsidRDefault="008347D7">
      <w:pPr>
        <w:pStyle w:val="Heading4"/>
        <w:rPr>
          <w:rFonts w:eastAsiaTheme="minorHAnsi" w:cstheme="minorBidi"/>
          <w:i w:val="0"/>
          <w:iCs w:val="0"/>
          <w:color w:val="auto"/>
        </w:rPr>
      </w:pPr>
      <w:bookmarkStart w:id="52" w:name="X32701e0fedc134c16faedc353b5191af070d81a"/>
      <w:bookmarkEnd w:id="51"/>
      <w:r w:rsidRPr="008347D7">
        <w:rPr>
          <w:rFonts w:eastAsiaTheme="minorHAnsi" w:cstheme="minorBidi"/>
          <w:i w:val="0"/>
          <w:iCs w:val="0"/>
          <w:color w:val="auto"/>
        </w:rPr>
        <w:t>Expected result: determinism holds for the proposed semantics, while the nondeterministic scheduling baseline can produce divergent successor states when multiple concurrent rule instances exist.</w:t>
      </w:r>
    </w:p>
    <w:p w14:paraId="0274CADB" w14:textId="427AC301" w:rsidR="00D07B66" w:rsidRDefault="00000000">
      <w:pPr>
        <w:pStyle w:val="Heading4"/>
      </w:pPr>
      <w:r>
        <w:t>Conflict safety and invariant preservation</w:t>
      </w:r>
    </w:p>
    <w:p w14:paraId="5596DBA5" w14:textId="77777777" w:rsidR="00D07B66" w:rsidRDefault="00000000">
      <w:pPr>
        <w:pStyle w:val="FirstParagraph"/>
      </w:pPr>
      <w:r>
        <w:t>Construct scenarios with increasing candidate set size $|\mathit{Act}</w:t>
      </w:r>
      <w:r>
        <w:rPr>
          <w:i/>
          <w:iCs/>
        </w:rPr>
        <w:t xml:space="preserve">t|$ and varying degrees of constraint tightness. Measure: - </w:t>
      </w:r>
      <w:r>
        <w:rPr>
          <w:b/>
          <w:bCs/>
          <w:i/>
          <w:iCs/>
        </w:rPr>
        <w:t>Invariant violation rate:</w:t>
      </w:r>
      <w:r>
        <w:rPr>
          <w:i/>
          <w:iCs/>
        </w:rPr>
        <w:t xml:space="preserve"> proportion of committed transitions with $\neg \mathit{Inv}(G</w:t>
      </w:r>
      <w:r>
        <w:t>, C_t)$.</w:t>
      </w:r>
    </w:p>
    <w:p w14:paraId="1775299B" w14:textId="77777777" w:rsidR="00D07B66" w:rsidRDefault="00000000">
      <w:pPr>
        <w:pStyle w:val="BodyText"/>
      </w:pPr>
      <w:r>
        <w:t>Expected result: zero for the proposed semantics by construction, and nonzero for baselines that do not check admissibility over action sets.</w:t>
      </w:r>
    </w:p>
    <w:p w14:paraId="04C9CF91" w14:textId="77777777" w:rsidR="00D07B66" w:rsidRDefault="00000000">
      <w:pPr>
        <w:pStyle w:val="Heading4"/>
      </w:pPr>
      <w:bookmarkStart w:id="53" w:name="X516e90d5f14af27d6b1d0dcbeaf3f4c223215f8"/>
      <w:bookmarkEnd w:id="52"/>
      <w:r>
        <w:t>Governance sensitivity and role precedence</w:t>
      </w:r>
    </w:p>
    <w:p w14:paraId="4D2CA040" w14:textId="77777777" w:rsidR="00D07B66" w:rsidRDefault="00000000">
      <w:pPr>
        <w:pStyle w:val="FirstParagraph"/>
      </w:pPr>
      <w:r>
        <w:t xml:space="preserve">Fix $(G_t, S_t, R)$ and vary $C_t$ across role contexts with different precedence relations or permissions. Measure: - </w:t>
      </w:r>
      <w:r>
        <w:rPr>
          <w:b/>
          <w:bCs/>
        </w:rPr>
        <w:t>Policy consistency:</w:t>
      </w:r>
      <w:r>
        <w:t xml:space="preserve"> whether committed actions comply with governance invariants. - </w:t>
      </w:r>
      <w:r>
        <w:rPr>
          <w:b/>
          <w:bCs/>
        </w:rPr>
        <w:t>Predictability:</w:t>
      </w:r>
      <w:r>
        <w:t xml:space="preserve"> whether changes in $C_t$ yield changes in $B_t$ consistent with roleRank ordering.</w:t>
      </w:r>
    </w:p>
    <w:p w14:paraId="440CA864" w14:textId="77777777" w:rsidR="00D07B66" w:rsidRDefault="00000000">
      <w:pPr>
        <w:pStyle w:val="BodyText"/>
      </w:pPr>
      <w:r>
        <w:t>Expected result: predictable, deterministic differences.</w:t>
      </w:r>
    </w:p>
    <w:p w14:paraId="73E4DA1D" w14:textId="77777777" w:rsidR="008347D7" w:rsidRDefault="008347D7">
      <w:pPr>
        <w:pStyle w:val="FirstParagraph"/>
        <w:rPr>
          <w:rFonts w:eastAsiaTheme="majorEastAsia" w:cstheme="majorBidi"/>
          <w:i/>
          <w:iCs/>
          <w:color w:val="0F4761" w:themeColor="accent1" w:themeShade="BF"/>
        </w:rPr>
      </w:pPr>
      <w:bookmarkStart w:id="54" w:name="audit-reconstruction-test"/>
      <w:bookmarkEnd w:id="53"/>
      <w:proofErr w:type="gramStart"/>
      <w:r w:rsidRPr="008347D7">
        <w:rPr>
          <w:rFonts w:eastAsiaTheme="majorEastAsia" w:cstheme="majorBidi"/>
          <w:i/>
          <w:iCs/>
          <w:color w:val="0F4761" w:themeColor="accent1" w:themeShade="BF"/>
        </w:rPr>
        <w:t>Replay</w:t>
      </w:r>
      <w:proofErr w:type="gramEnd"/>
      <w:r w:rsidRPr="008347D7">
        <w:rPr>
          <w:rFonts w:eastAsiaTheme="majorEastAsia" w:cstheme="majorBidi"/>
          <w:i/>
          <w:iCs/>
          <w:color w:val="0F4761" w:themeColor="accent1" w:themeShade="BF"/>
        </w:rPr>
        <w:t xml:space="preserve"> reproducibility test</w:t>
      </w:r>
    </w:p>
    <w:p w14:paraId="3E9F6AA3" w14:textId="4B50F4FD" w:rsidR="008347D7" w:rsidRPr="008347D7" w:rsidRDefault="008347D7" w:rsidP="008347D7">
      <w:pPr>
        <w:rPr>
          <w:lang w:val="en-150"/>
        </w:rPr>
      </w:pPr>
      <w:bookmarkStart w:id="55" w:name="complexity-and-scalability-discussion"/>
      <w:bookmarkEnd w:id="50"/>
      <w:bookmarkEnd w:id="54"/>
      <w:r w:rsidRPr="008347D7">
        <w:rPr>
          <w:lang w:val="en-150"/>
        </w:rPr>
        <w:t xml:space="preserve">Given fixed inputs </w:t>
      </w:r>
      <m:oMath>
        <m:d>
          <m:dPr>
            <m:sepChr m:val=","/>
            <m:ctrlPr>
              <w:rPr>
                <w:rFonts w:ascii="Cambria Math" w:hAnsi="Cambria Math"/>
                <w:lang w:val="en-150"/>
              </w:rPr>
            </m:ctrlPr>
          </m:dPr>
          <m:e>
            <m:sSub>
              <m:sSubPr>
                <m:ctrlPr>
                  <w:rPr>
                    <w:rFonts w:ascii="Cambria Math" w:hAnsi="Cambria Math"/>
                    <w:lang w:val="en-150"/>
                  </w:rPr>
                </m:ctrlPr>
              </m:sSubPr>
              <m:e>
                <m:r>
                  <w:rPr>
                    <w:rFonts w:ascii="Cambria Math" w:hAnsi="Cambria Math"/>
                    <w:lang w:val="en-150"/>
                  </w:rPr>
                  <m:t>G</m:t>
                </m:r>
              </m:e>
              <m:sub>
                <m:r>
                  <w:rPr>
                    <w:rFonts w:ascii="Cambria Math" w:hAnsi="Cambria Math"/>
                    <w:lang w:val="en-150"/>
                  </w:rPr>
                  <m:t>t</m:t>
                </m:r>
              </m:sub>
            </m:sSub>
          </m:e>
          <m:e>
            <m:sSub>
              <m:sSubPr>
                <m:ctrlPr>
                  <w:rPr>
                    <w:rFonts w:ascii="Cambria Math" w:hAnsi="Cambria Math"/>
                    <w:lang w:val="en-150"/>
                  </w:rPr>
                </m:ctrlPr>
              </m:sSubPr>
              <m:e>
                <m:r>
                  <w:rPr>
                    <w:rFonts w:ascii="Cambria Math" w:hAnsi="Cambria Math"/>
                    <w:lang w:val="en-150"/>
                  </w:rPr>
                  <m:t>S</m:t>
                </m:r>
              </m:e>
              <m:sub>
                <m:r>
                  <w:rPr>
                    <w:rFonts w:ascii="Cambria Math" w:hAnsi="Cambria Math"/>
                    <w:lang w:val="en-150"/>
                  </w:rPr>
                  <m:t>t</m:t>
                </m:r>
              </m:sub>
            </m:sSub>
          </m:e>
          <m:e>
            <m:r>
              <w:rPr>
                <w:rFonts w:ascii="Cambria Math" w:hAnsi="Cambria Math"/>
                <w:lang w:val="en-150"/>
              </w:rPr>
              <m:t>R</m:t>
            </m:r>
          </m:e>
          <m:e>
            <m:sSub>
              <m:sSubPr>
                <m:ctrlPr>
                  <w:rPr>
                    <w:rFonts w:ascii="Cambria Math" w:hAnsi="Cambria Math"/>
                    <w:lang w:val="en-150"/>
                  </w:rPr>
                </m:ctrlPr>
              </m:sSubPr>
              <m:e>
                <m:r>
                  <w:rPr>
                    <w:rFonts w:ascii="Cambria Math" w:hAnsi="Cambria Math"/>
                    <w:lang w:val="en-150"/>
                  </w:rPr>
                  <m:t>C</m:t>
                </m:r>
              </m:e>
              <m:sub>
                <m:r>
                  <w:rPr>
                    <w:rFonts w:ascii="Cambria Math" w:hAnsi="Cambria Math"/>
                    <w:lang w:val="en-150"/>
                  </w:rPr>
                  <m:t>t</m:t>
                </m:r>
              </m:sub>
            </m:sSub>
          </m:e>
        </m:d>
      </m:oMath>
      <w:r w:rsidRPr="008347D7">
        <w:rPr>
          <w:lang w:val="en-150"/>
        </w:rPr>
        <w:t xml:space="preserve">and the recorded trace </w:t>
      </w:r>
      <m:oMath>
        <m:sSub>
          <m:sSubPr>
            <m:ctrlPr>
              <w:rPr>
                <w:rFonts w:ascii="Cambria Math" w:hAnsi="Cambria Math"/>
                <w:lang w:val="en-150"/>
              </w:rPr>
            </m:ctrlPr>
          </m:sSubPr>
          <m:e>
            <m:r>
              <m:rPr>
                <m:sty m:val="p"/>
              </m:rPr>
              <w:rPr>
                <w:rFonts w:ascii="Cambria Math" w:hAnsi="Cambria Math"/>
                <w:lang w:val="en-150"/>
              </w:rPr>
              <m:t>Λ</m:t>
            </m:r>
          </m:e>
          <m:sub>
            <m:r>
              <w:rPr>
                <w:rFonts w:ascii="Cambria Math" w:hAnsi="Cambria Math"/>
                <w:lang w:val="en-150"/>
              </w:rPr>
              <m:t>t</m:t>
            </m:r>
          </m:sub>
        </m:sSub>
      </m:oMath>
      <w:r w:rsidRPr="008347D7">
        <w:rPr>
          <w:lang w:val="en-150"/>
        </w:rPr>
        <w:t>, rerun the engine and verify that replay yields the same committed outcome. Measure:</w:t>
      </w:r>
    </w:p>
    <w:p w14:paraId="04CAC995" w14:textId="77777777" w:rsidR="008347D7" w:rsidRPr="008347D7" w:rsidRDefault="008347D7" w:rsidP="008347D7">
      <w:pPr>
        <w:rPr>
          <w:lang w:val="en-150"/>
        </w:rPr>
      </w:pPr>
      <w:r w:rsidRPr="008347D7">
        <w:rPr>
          <w:lang w:val="en-150"/>
        </w:rPr>
        <w:t>Replay success rate: proportion of transitions where replay yields the committed outcome.</w:t>
      </w:r>
    </w:p>
    <w:p w14:paraId="72A40EDA" w14:textId="77777777" w:rsidR="008347D7" w:rsidRDefault="008347D7" w:rsidP="008347D7">
      <w:pPr>
        <w:rPr>
          <w:lang w:val="en-150"/>
        </w:rPr>
      </w:pPr>
      <w:r w:rsidRPr="008347D7">
        <w:rPr>
          <w:lang w:val="en-150"/>
        </w:rPr>
        <w:t>Expected result: one for the proposed semantics, demonstrating replay-based reproducibility under fixed inputs and semantics.</w:t>
      </w:r>
    </w:p>
    <w:p w14:paraId="75F0932B" w14:textId="30228097" w:rsidR="008347D7" w:rsidRPr="008347D7" w:rsidRDefault="008347D7" w:rsidP="008347D7">
      <w:pPr>
        <w:rPr>
          <w:lang w:val="en-150"/>
        </w:rPr>
      </w:pPr>
      <w:r w:rsidRPr="008347D7">
        <w:t>In our prototype, the proposed semantics produced one unique successor state across 30 repeated runs under identical inputs, whereas the nondeterministic scheduling baseline produced eight distinct successor states across the same number of runs.</w:t>
      </w:r>
    </w:p>
    <w:p w14:paraId="20BCA73C" w14:textId="77777777" w:rsidR="00D07B66" w:rsidRDefault="00000000">
      <w:pPr>
        <w:pStyle w:val="Heading3"/>
      </w:pPr>
      <w:r>
        <w:t>Complexity and scalability discussion</w:t>
      </w:r>
    </w:p>
    <w:p w14:paraId="00687334" w14:textId="77777777" w:rsidR="00D07B66" w:rsidRDefault="00000000">
      <w:pPr>
        <w:pStyle w:val="FirstParagraph"/>
      </w:pPr>
      <w:r>
        <w:t>Let $n = |\mathit{Act}_t|$. Scheduling is $O(n \log n)$ for sorting by $\kappa_t$. Resolution is $O(n \cdot \mathit{cost}(\mathit{Adm}))$, as each candidate step checks admissibility once. The dominant factor is $\mathit{cost}(\mathit{Adm})$, which depends on the constraint validation approach. Formal results on SHACL validation show nontrivial complexity, especially when recursion and ontologies interact (Corman et al., 2018; Oudshoorn et al., 2026). Practically, this motivates incremental validation and careful constraint design, but these are implementation concerns beyond the semantics. The semantics contribution is to make the validation point and its role in execution explicit.</w:t>
      </w:r>
    </w:p>
    <w:p w14:paraId="42185387" w14:textId="77777777" w:rsidR="00D07B66" w:rsidRDefault="00000000">
      <w:pPr>
        <w:pStyle w:val="Heading2"/>
      </w:pPr>
      <w:bookmarkStart w:id="56" w:name="discussion-and-limitations"/>
      <w:bookmarkEnd w:id="47"/>
      <w:bookmarkEnd w:id="55"/>
      <w:r>
        <w:lastRenderedPageBreak/>
        <w:t>Discussion and Limitations</w:t>
      </w:r>
    </w:p>
    <w:p w14:paraId="3A494061" w14:textId="77777777" w:rsidR="00D07B66" w:rsidRDefault="00000000">
      <w:pPr>
        <w:pStyle w:val="Heading3"/>
      </w:pPr>
      <w:bookmarkStart w:id="57" w:name="determinism-versus-maximality"/>
      <w:r>
        <w:t>Determinism versus maximality</w:t>
      </w:r>
    </w:p>
    <w:p w14:paraId="2737A567" w14:textId="77777777" w:rsidR="00D07B66" w:rsidRDefault="00000000">
      <w:pPr>
        <w:pStyle w:val="FirstParagraph"/>
      </w:pPr>
      <w:r>
        <w:t>The resolver deterministically selects a schedule-consistent admissible set. It does not claim to compute a globally maximal or optimal admissible set. Selecting a maximal admissible subset under complex constraints is likely computationally hard in general and would require an explicit optimization criterion and proof obligations. Our semantics prioritizes determinism, governance precedence, and auditability.</w:t>
      </w:r>
    </w:p>
    <w:p w14:paraId="1CD123EE" w14:textId="77777777" w:rsidR="00D07B66" w:rsidRDefault="00000000">
      <w:pPr>
        <w:pStyle w:val="Heading3"/>
      </w:pPr>
      <w:bookmarkStart w:id="58" w:name="higher-order-conflicts"/>
      <w:bookmarkEnd w:id="57"/>
      <w:r>
        <w:t>Higher-order conflicts</w:t>
      </w:r>
    </w:p>
    <w:p w14:paraId="1E5C2E31" w14:textId="77777777" w:rsidR="00D07B66" w:rsidRDefault="00000000">
      <w:pPr>
        <w:pStyle w:val="FirstParagraph"/>
      </w:pPr>
      <w:r>
        <w:t>We treat admissibility over sets as primary and define pairwise conflict only as a derived notion for explanation. This avoids the common pitfall of assuming pairwise conflicts fully capture constraint violations, but it means that implementations must evaluate admissibility on growing sets, which can be expensive.</w:t>
      </w:r>
    </w:p>
    <w:p w14:paraId="5164C147" w14:textId="77777777" w:rsidR="00D07B66" w:rsidRDefault="00000000">
      <w:pPr>
        <w:pStyle w:val="Heading3"/>
      </w:pPr>
      <w:bookmarkStart w:id="59" w:name="X37d84b1e573a1d9a67c9862a8e83e0e91f65b4e"/>
      <w:bookmarkEnd w:id="58"/>
      <w:r>
        <w:t>Open-world inference and closed-world validation</w:t>
      </w:r>
    </w:p>
    <w:p w14:paraId="21579278" w14:textId="77777777" w:rsidR="00D07B66" w:rsidRDefault="00000000">
      <w:pPr>
        <w:pStyle w:val="FirstParagraph"/>
      </w:pPr>
      <w:r>
        <w:t>Many semantic digital twin stacks combine ontological reasoning (often open-world) with shape validation and constraint checking (often closed-world). Our model separates entailment semantics for conditions from validation semantics for invariants and requires both to be fixed and deterministic. Choosing and justifying a combined semantics is a substantive design decision highlighted by recent results on SHACL validation in the presence of ontologies (Oudshoorn et al., 2026).</w:t>
      </w:r>
    </w:p>
    <w:p w14:paraId="379AB89F" w14:textId="77777777" w:rsidR="00D07B66" w:rsidRDefault="00000000">
      <w:pPr>
        <w:pStyle w:val="Heading3"/>
      </w:pPr>
      <w:bookmarkStart w:id="60" w:name="Xae1dcc0cd55261f0c228fab4867e7b530f330b6"/>
      <w:bookmarkEnd w:id="59"/>
      <w:r>
        <w:t>External side effects and physical actuation</w:t>
      </w:r>
    </w:p>
    <w:p w14:paraId="45A979FD" w14:textId="77777777" w:rsidR="00D07B66" w:rsidRDefault="00000000">
      <w:pPr>
        <w:pStyle w:val="FirstParagraph"/>
      </w:pPr>
      <w:r>
        <w:t>We model actuation as updates to twin state. Real deployments also involve side effects in physical systems. Ensuring that external actuation is consistent with committed state transitions requires additional assumptions about actuator interfaces and transactional boundaries that fall outside the scope of this semantics, but can be treated as an implementation refinement step.</w:t>
      </w:r>
    </w:p>
    <w:p w14:paraId="11B9AAAA" w14:textId="77777777" w:rsidR="00D07B66" w:rsidRDefault="00000000">
      <w:pPr>
        <w:pStyle w:val="Heading2"/>
      </w:pPr>
      <w:bookmarkStart w:id="61" w:name="conclusion"/>
      <w:bookmarkEnd w:id="56"/>
      <w:bookmarkEnd w:id="60"/>
      <w:r>
        <w:t>Conclusion</w:t>
      </w:r>
    </w:p>
    <w:p w14:paraId="1AD507BD" w14:textId="77777777" w:rsidR="00D07B66" w:rsidRDefault="00000000">
      <w:pPr>
        <w:pStyle w:val="FirstParagraph"/>
      </w:pPr>
      <w:r>
        <w:t xml:space="preserve">This paper presented a unified successor-state execution semantics for ECA automation over evolving RDF knowledge graph state in semantic digital twins. The semantics addresses a practical and theoretical reliability gap: how to make automation outcomes reproducible and auditable under continuous event windows, concurrent rule-instance activations, conflicts, and governance constraints. Unlike prior work that separately formalizes stream reasoning, reactive rules, RDF updates, access control, or conflict detection, our contribution is the integrated model: deterministic rule-instance-aware scheduling, admissibility-based conflict-safe runtime resolution grounded in safety and governance invariants, governance as part of execution meaning, and trace completeness enabling audit reconstruction. The resulting semantics clarifies the conditions under which </w:t>
      </w:r>
      <w:r>
        <w:lastRenderedPageBreak/>
        <w:t>autonomous twin behavior can be considered deterministic, policy-compliant, and accountable, and provides a foundation for implementing reliable automation layers in semantic digital twin systems.</w:t>
      </w:r>
    </w:p>
    <w:p w14:paraId="7996982D" w14:textId="77777777" w:rsidR="00D07B66" w:rsidRDefault="00000000">
      <w:pPr>
        <w:pStyle w:val="Heading2"/>
      </w:pPr>
      <w:bookmarkStart w:id="62" w:name="references"/>
      <w:bookmarkEnd w:id="61"/>
      <w:r>
        <w:t>References</w:t>
      </w:r>
    </w:p>
    <w:p w14:paraId="69FADEFD" w14:textId="03139B42" w:rsidR="00D07B66" w:rsidRDefault="00000000" w:rsidP="00742CA3">
      <w:pPr>
        <w:pStyle w:val="FirstParagraph"/>
      </w:pPr>
      <w:r>
        <w:t xml:space="preserve">Ahmetaj, S., Ortiz, M., &amp; Šimkus, M. (2025). SHACL Validation Under Graph Updates. In </w:t>
      </w:r>
      <w:r>
        <w:rPr>
          <w:i/>
          <w:iCs/>
        </w:rPr>
        <w:t>The Semantic Web</w:t>
      </w:r>
      <w:r>
        <w:t xml:space="preserve"> (Springer LNCS).</w:t>
      </w:r>
      <w:r>
        <w:br/>
        <w:t xml:space="preserve">Anicic, D., Fodor, P., Rudolph, S., &amp; Stojanovic, N. (2011). EP-SPARQL: A Unified Language for Event Processing and Stream Reasoning. In </w:t>
      </w:r>
      <w:r>
        <w:rPr>
          <w:i/>
          <w:iCs/>
        </w:rPr>
        <w:t>Proceedings of WWW 2011</w:t>
      </w:r>
      <w:r>
        <w:t xml:space="preserve"> (pp. 635–644). doi:10.1145/1963405.1963495.</w:t>
      </w:r>
      <w:r>
        <w:br/>
        <w:t xml:space="preserve">Arasu, A., Babu, S., &amp; Widom, J. (2006). The CQL Continuous Query Language: Semantic Foundations and Query Execution. </w:t>
      </w:r>
      <w:r>
        <w:rPr>
          <w:i/>
          <w:iCs/>
        </w:rPr>
        <w:t>The VLDB Journal</w:t>
      </w:r>
      <w:r>
        <w:t>, 15(2), 121–142.</w:t>
      </w:r>
      <w:r>
        <w:br/>
        <w:t xml:space="preserve">Balaji, B., Bhattacharya, A., Fierro, G., Gao, J., Gluck, J., Hong, D., Johansen, A., Koh, J., Ploennigs, J., Agarwal, Y., &amp; others. (2016). Brick: Towards a Unified Metadata Schema for Buildings. In </w:t>
      </w:r>
      <w:r>
        <w:rPr>
          <w:i/>
          <w:iCs/>
        </w:rPr>
        <w:t>Proceedings of BuildSys 2016</w:t>
      </w:r>
      <w:r>
        <w:t>. doi:10.1145/2993422.2993577.</w:t>
      </w:r>
      <w:r>
        <w:br/>
        <w:t xml:space="preserve">Balaji, B., Bhattacharya, A., Fierro, G., Gao, J., Gluck, J., Hong, D., Johansen, A., Koh, J., Ploennigs, J., Agarwal, Y., &amp; others. (2018). Brick: Metadata Schema for Portable Smart Building Applications. </w:t>
      </w:r>
      <w:r>
        <w:rPr>
          <w:i/>
          <w:iCs/>
        </w:rPr>
        <w:t>Applied Energy</w:t>
      </w:r>
      <w:r>
        <w:t>, 226, 1273–1292.</w:t>
      </w:r>
      <w:r>
        <w:br/>
        <w:t xml:space="preserve">Barbieri, D. F., Braga, D., Ceri, S., Della Valle, E., &amp; Grossniklaus, M. (2010). C-SPARQL: A Continuous Query Language for RDF Data Streams. </w:t>
      </w:r>
      <w:r>
        <w:rPr>
          <w:i/>
          <w:iCs/>
        </w:rPr>
        <w:t>International Journal of Semantic Computing</w:t>
      </w:r>
      <w:r>
        <w:t>, 4(1), 3–25. doi:10.1142/S1793351X10000936.</w:t>
      </w:r>
      <w:r>
        <w:br/>
        <w:t xml:space="preserve">Bader, S. R., &amp; Maleshkova, M. (2019). The Semantic Asset Administration Shell. In </w:t>
      </w:r>
      <w:r>
        <w:rPr>
          <w:i/>
          <w:iCs/>
        </w:rPr>
        <w:t>Semantic Systems. The Power of AI and Knowledge Graphs (SEMANTiCS 2019)</w:t>
      </w:r>
      <w:r>
        <w:t xml:space="preserve"> (LNCS 11702, pp. 159–174). Springer. doi:10.1007/978-3-030-33220-4_12.</w:t>
      </w:r>
      <w:r>
        <w:br/>
        <w:t xml:space="preserve">Bazoobandi, H. R., Beck, H., &amp; Urbani, J. (2017). Expressive Stream Reasoning with Laser. In </w:t>
      </w:r>
      <w:r>
        <w:rPr>
          <w:i/>
          <w:iCs/>
        </w:rPr>
        <w:t>Proceedings of ISWC 2017</w:t>
      </w:r>
      <w:r>
        <w:t>.</w:t>
      </w:r>
      <w:r>
        <w:br/>
        <w:t xml:space="preserve">Beck, H., Dao-Tran, M., Eiter, T., &amp; Fink, M. (2015). LARS: A Logic-Based Framework for Analyzing Reasoning over Streams. In </w:t>
      </w:r>
      <w:r>
        <w:rPr>
          <w:i/>
          <w:iCs/>
        </w:rPr>
        <w:t>Proceedings of AAAI 2015</w:t>
      </w:r>
      <w:r>
        <w:t xml:space="preserve"> (pp. 1431–1438).</w:t>
      </w:r>
      <w:r>
        <w:br/>
        <w:t xml:space="preserve">Botan, I., Derakhshan, R., Dindar, N., Haas, L. M., Miller, R. J., &amp; Tatbul, N. (2010). SECRET: A Model for Analysis of the Execution Semantics of Stream Processing Systems. </w:t>
      </w:r>
      <w:r>
        <w:rPr>
          <w:i/>
          <w:iCs/>
        </w:rPr>
        <w:t>Proceedings of the VLDB Endowment</w:t>
      </w:r>
      <w:r>
        <w:t>, 3(1–2), 232–243. doi:10.14778/1920841.1920874.</w:t>
      </w:r>
      <w:r>
        <w:br/>
        <w:t xml:space="preserve">Brockhoff, T., Heithoff, M., Koren, I., Michael, J., Pfeiffer, J., Rumpe, B., Uysal, M. S., van der Aalst, W. M. P., &amp; Wortmann, A. (2021). Process Prediction with Digital Twins. In </w:t>
      </w:r>
      <w:r>
        <w:rPr>
          <w:i/>
          <w:iCs/>
        </w:rPr>
        <w:t>Proceedings of MODELS-C 2021</w:t>
      </w:r>
      <w:r>
        <w:t xml:space="preserve"> (pp. 182–187).</w:t>
      </w:r>
      <w:r>
        <w:br/>
        <w:t xml:space="preserve">Chen, L., Wang, C., Chen, C., Huang, C., Chen, X., &amp; Zhang, M. (2024). TapChecker: A Lightweight SMT-Based Conflict Analysis for Trigger-Action Programming. </w:t>
      </w:r>
      <w:r>
        <w:rPr>
          <w:i/>
          <w:iCs/>
        </w:rPr>
        <w:t>IEEE Internet of Things Journal</w:t>
      </w:r>
      <w:r>
        <w:t>, 11(12), 21411–21426. doi:10.1109/JIOT.2024.3374556.</w:t>
      </w:r>
      <w:r>
        <w:br/>
        <w:t xml:space="preserve">Chen, X., Zhang, X., Elliot, M., Wang, X., &amp; Wang, F. (2022). Fix the Leaking Tap: A Survey of Trigger-Action Programming Security Issues, Detection Techniques and Solutions. </w:t>
      </w:r>
      <w:r>
        <w:rPr>
          <w:i/>
          <w:iCs/>
        </w:rPr>
        <w:t>Computers &amp; Security</w:t>
      </w:r>
      <w:r>
        <w:t>, 120, 102812.</w:t>
      </w:r>
      <w:r>
        <w:br/>
        <w:t xml:space="preserve">Corman, J., Reutter, J. L., &amp; Savković, O. (2018). Semantics and Validation of Recursive SHACL. In </w:t>
      </w:r>
      <w:r>
        <w:rPr>
          <w:i/>
          <w:iCs/>
        </w:rPr>
        <w:t>Proceedings of ISWC 2018</w:t>
      </w:r>
      <w:r>
        <w:t xml:space="preserve"> (LNCS 11136, pp. 318–336). doi:10.1007/978-3-030-00671-6_19.</w:t>
      </w:r>
      <w:r>
        <w:br/>
      </w:r>
      <w:r>
        <w:lastRenderedPageBreak/>
        <w:t xml:space="preserve">Costabello, L., Villata, S., &amp; Gandon, F. (2012). Context-Aware Access Control for RDF Graph Stores. In </w:t>
      </w:r>
      <w:r>
        <w:rPr>
          <w:i/>
          <w:iCs/>
        </w:rPr>
        <w:t>Proceedings of ECAI 2012</w:t>
      </w:r>
      <w:r>
        <w:t xml:space="preserve"> (pp. 282–287).</w:t>
      </w:r>
      <w:r>
        <w:br/>
        <w:t xml:space="preserve">Dell’Aglio, D., Calbimonte, J.-P., Balduini, M., Corcho, O., &amp; Della Valle, E. (2013). On Correctness in RDF Stream Processor Benchmarking. In </w:t>
      </w:r>
      <w:r>
        <w:rPr>
          <w:i/>
          <w:iCs/>
        </w:rPr>
        <w:t>The Semantic Web (ISWC 2013)</w:t>
      </w:r>
      <w:r>
        <w:t xml:space="preserve"> (pp. 326–342). Springer LNCS. doi:10.1007/978-3-642-41338-4_21.</w:t>
      </w:r>
      <w:r>
        <w:br/>
        <w:t xml:space="preserve">Dell’Aglio, D., Della Valle, E., Calbimonte, J.-P., &amp; Corcho, O. (2014). RSP-QL Semantics: A Unifying Query Model to Explain Heterogeneity of RDF Stream Processing Systems. </w:t>
      </w:r>
      <w:r>
        <w:rPr>
          <w:i/>
          <w:iCs/>
        </w:rPr>
        <w:t>International Journal on Semantic Web and Information Systems</w:t>
      </w:r>
      <w:r>
        <w:t>, 10(4), 17–44. doi:10.4018/ijswis.2014100102.</w:t>
      </w:r>
      <w:r>
        <w:br/>
        <w:t xml:space="preserve">Dell’Aglio, D., Della Valle, E., van Harmelen, F., &amp; Bernstein, A. (2017). Stream Reasoning: A Survey and Outlook. </w:t>
      </w:r>
      <w:r>
        <w:rPr>
          <w:i/>
          <w:iCs/>
        </w:rPr>
        <w:t>Data Science</w:t>
      </w:r>
      <w:r>
        <w:t>, 1(1–2), 59–83. doi:10.3233/DS-170006.</w:t>
      </w:r>
      <w:r>
        <w:br/>
        <w:t xml:space="preserve">Donkers, A. J. A., de Vries, B., &amp; Yang, D. (2024). Creating Occupant-Centered Digital Twins Using the Occupant Feedback Ontology Implemented in a Smartwatch App. </w:t>
      </w:r>
      <w:r>
        <w:rPr>
          <w:i/>
          <w:iCs/>
        </w:rPr>
        <w:t>Semantic Web</w:t>
      </w:r>
      <w:r>
        <w:t>, 15(2), 259–284. doi:10.3233/SW-223254.</w:t>
      </w:r>
      <w:r>
        <w:br/>
        <w:t xml:space="preserve">Flouris, G., Fundulaki, I., Michou, M., &amp; Antoniou, G. (2010). Controlling Access to RDF Graphs. In </w:t>
      </w:r>
      <w:r>
        <w:rPr>
          <w:i/>
          <w:iCs/>
        </w:rPr>
        <w:t>Future Internet Symposium (FIS 2010)</w:t>
      </w:r>
      <w:r>
        <w:t xml:space="preserve"> (LNCS 6369, pp. 107–117). Springer. doi:10.1007/978-3-642-15877-3_12.</w:t>
      </w:r>
      <w:r>
        <w:br/>
        <w:t xml:space="preserve">Gabillon, A., &amp; Letouzey, L. (2010). A View Based Access Control Model for SPARQL. In </w:t>
      </w:r>
      <w:r>
        <w:rPr>
          <w:i/>
          <w:iCs/>
        </w:rPr>
        <w:t>Proceedings of NSS 2010</w:t>
      </w:r>
      <w:r>
        <w:t xml:space="preserve"> (pp. 105–112). IEEE. doi:10.1109/NSS.2010.35.</w:t>
      </w:r>
      <w:r>
        <w:br/>
        <w:t xml:space="preserve">Gillani, S., Picard, G., &amp; Laforest, F. (2018). A Query Language for Semantic Complex Event Processing: Syntax, Semantics and Implementation. </w:t>
      </w:r>
      <w:r>
        <w:rPr>
          <w:i/>
          <w:iCs/>
        </w:rPr>
        <w:t>Semantic Web</w:t>
      </w:r>
      <w:r>
        <w:t>, 9, 479–510. doi:10.3233/SW-180313.</w:t>
      </w:r>
      <w:r>
        <w:br/>
        <w:t xml:space="preserve">Gruber, N., &amp; Glimm, B. (2023). A Comparative Study of Stream Reasoning Engines. In </w:t>
      </w:r>
      <w:r>
        <w:rPr>
          <w:i/>
          <w:iCs/>
        </w:rPr>
        <w:t>The Semantic Web (ESWC 2023)</w:t>
      </w:r>
      <w:r>
        <w:t xml:space="preserve"> (pp. 21–37). Springer LNCS. doi:10.1007/978-3-031-33455-9_2.</w:t>
      </w:r>
      <w:r>
        <w:br/>
        <w:t xml:space="preserve">Guittoum, A., Aïssaoui, F., Bolle, S., Boyer, F., &amp; De Palma, N. (2023). Solving the IoT Cascading Failure Dilemma Using a Semantic Multi-agent System. In </w:t>
      </w:r>
      <w:r>
        <w:rPr>
          <w:i/>
          <w:iCs/>
        </w:rPr>
        <w:t>Proceedings of ISWC 2023</w:t>
      </w:r>
      <w:r>
        <w:t xml:space="preserve"> (pp. 325–344).</w:t>
      </w:r>
      <w:r>
        <w:br/>
        <w:t xml:space="preserve">Haerder, T., &amp; Reuter, A. (1983). Principles of Transaction-Oriented Database Recovery. </w:t>
      </w:r>
      <w:r>
        <w:rPr>
          <w:i/>
          <w:iCs/>
        </w:rPr>
        <w:t>ACM Computing Surveys</w:t>
      </w:r>
      <w:r>
        <w:t>, 15(4), 287–317. doi:10.1145/289.291.</w:t>
      </w:r>
      <w:r>
        <w:br/>
        <w:t xml:space="preserve">Halpin, H., &amp; Cheney, J. (2014). Dynamic Provenance for SPARQL Updates. In </w:t>
      </w:r>
      <w:r>
        <w:rPr>
          <w:i/>
          <w:iCs/>
        </w:rPr>
        <w:t>The Semantic Web (ISWC 2014)</w:t>
      </w:r>
      <w:r>
        <w:t xml:space="preserve"> (LNCS 8796, pp. 425–440). Springer.</w:t>
      </w:r>
      <w:r>
        <w:br/>
        <w:t xml:space="preserve">Horne, R., Sassone, V., &amp; Gibbins, N. (2011). Operational Semantics for SPARQL Update. In </w:t>
      </w:r>
      <w:r>
        <w:rPr>
          <w:i/>
          <w:iCs/>
        </w:rPr>
        <w:t>The Semantic Web (JIST 2011)</w:t>
      </w:r>
      <w:r>
        <w:t xml:space="preserve"> (LNCS 7185, pp. 242–257). Springer. doi:10.1007/978-3-642-29923-0_16.</w:t>
      </w:r>
      <w:r>
        <w:br/>
        <w:t xml:space="preserve">Karabulut, E., Pileggi, S. F., Groth, P., &amp; Degeler, V. (2024). Ontologies in Digital Twins: A Systematic Literature Review. </w:t>
      </w:r>
      <w:r>
        <w:rPr>
          <w:i/>
          <w:iCs/>
        </w:rPr>
        <w:t>Future Generation Computer Systems</w:t>
      </w:r>
      <w:r>
        <w:t>, 153, 442–456. doi:10.1016/j.future.2023.12.013.</w:t>
      </w:r>
      <w:r>
        <w:br/>
        <w:t xml:space="preserve">Kirrane, S., Mileo, A., &amp; Decker, S. (2017). Access Control and the Resource Description Framework: A Survey. </w:t>
      </w:r>
      <w:r>
        <w:rPr>
          <w:i/>
          <w:iCs/>
        </w:rPr>
        <w:t>Semantic Web</w:t>
      </w:r>
      <w:r>
        <w:t>, 8(2), 311–352. doi:10.3233/SW-160236.</w:t>
      </w:r>
      <w:r>
        <w:br/>
        <w:t xml:space="preserve">Le-Phuoc, D., Dao-Tran, M., Parreira, J. X., &amp; Hauswirth, M. (2011). Continuous Query Optimization and Evaluation over Unified Linked Stream Data and Linked Open Data. In </w:t>
      </w:r>
      <w:r>
        <w:rPr>
          <w:i/>
          <w:iCs/>
        </w:rPr>
        <w:t>Proceedings of ISWC 2011</w:t>
      </w:r>
      <w:r>
        <w:t xml:space="preserve"> (pp. 370–388). Springer LNCS.</w:t>
      </w:r>
      <w:r>
        <w:br/>
        <w:t xml:space="preserve">Oudshoorn, A., Ortiz, M., &amp; Šimkus, M. (2026). SHACL Validation in the Presence of </w:t>
      </w:r>
      <w:r>
        <w:lastRenderedPageBreak/>
        <w:t xml:space="preserve">Ontologies: Semantics and Rewriting Techniques. </w:t>
      </w:r>
      <w:r>
        <w:rPr>
          <w:i/>
          <w:iCs/>
        </w:rPr>
        <w:t>Artificial Intelligence</w:t>
      </w:r>
      <w:r>
        <w:t>, 352, 104483. doi:10.1016/j.artint.2026.104483.</w:t>
      </w:r>
      <w:r>
        <w:br/>
        <w:t xml:space="preserve">Papadimitriou, C. H. (1979). The Serializability of Concurrent Database Updates. </w:t>
      </w:r>
      <w:r>
        <w:rPr>
          <w:i/>
          <w:iCs/>
        </w:rPr>
        <w:t>Journal of the ACM</w:t>
      </w:r>
      <w:r>
        <w:t>, 26(4), 631–653. doi:10.1145/322154.322158.</w:t>
      </w:r>
      <w:r>
        <w:br/>
        <w:t xml:space="preserve">Papamarkos, G., Poulovassilis, A., &amp; Wood, P. T. (2006). Event-Condition-Action Rules on RDF Metadata in P2P Environments. </w:t>
      </w:r>
      <w:r>
        <w:rPr>
          <w:i/>
          <w:iCs/>
        </w:rPr>
        <w:t>Computer Networks</w:t>
      </w:r>
      <w:r>
        <w:t>, 50(10), 1513–1532. doi:10.1016/j.comnet.2005.10.022.</w:t>
      </w:r>
      <w:r>
        <w:br/>
        <w:t xml:space="preserve">Paton, N. W., &amp; Díaz, O. (1999). Active Database Systems. </w:t>
      </w:r>
      <w:r>
        <w:rPr>
          <w:i/>
          <w:iCs/>
        </w:rPr>
        <w:t>ACM Computing Surveys</w:t>
      </w:r>
      <w:r>
        <w:t>, 31(1), 63–103. doi:10.1145/311531.311623.</w:t>
      </w:r>
      <w:r>
        <w:br/>
        <w:t xml:space="preserve">Pereira, F. de Andrade, Katsigarakis, K., Rovas, D., Pritoni, M., Shaw, C., Paul, L., Prakash, A., Martin-Toral, S., Finn, D., &amp; O’Donnell, J. (2025). A Semantics-Driven Framework to Enable Demand Flexibility Control Applications in Real Buildings. </w:t>
      </w:r>
      <w:r>
        <w:rPr>
          <w:i/>
          <w:iCs/>
        </w:rPr>
        <w:t>Advanced Engineering Informatics</w:t>
      </w:r>
      <w:r>
        <w:t>, 64, 103049. doi:10.1016/j.aei.2024.103049.</w:t>
      </w:r>
      <w:r>
        <w:br/>
        <w:t xml:space="preserve">Pérez, J., Arenas, M., &amp; Gutiérrez, C. (2009). Semantics and Complexity of SPARQL. </w:t>
      </w:r>
      <w:r>
        <w:rPr>
          <w:i/>
          <w:iCs/>
        </w:rPr>
        <w:t>ACM Transactions on Database Systems</w:t>
      </w:r>
      <w:r>
        <w:t>, 34(3), Article 16. doi:10.1145/1567274.1567278.</w:t>
      </w:r>
      <w:r>
        <w:br/>
        <w:t xml:space="preserve">Ramonell, C., Chacón, R., &amp; Posada, H. (2023). Knowledge Graph-based Data Integration System for Digital Twins of Built Assets. </w:t>
      </w:r>
      <w:r>
        <w:rPr>
          <w:i/>
          <w:iCs/>
        </w:rPr>
        <w:t>Automation in Construction</w:t>
      </w:r>
      <w:r>
        <w:t>, 156, 105109. doi:10.1016/j.autcon.2023.105109.</w:t>
      </w:r>
      <w:r>
        <w:br/>
        <w:t xml:space="preserve">Sandhu, R. S., Coyne, E. J., Feinstein, H. L., &amp; Youman, C. E. (1996). Role-Based Access Control Models. </w:t>
      </w:r>
      <w:r>
        <w:rPr>
          <w:i/>
          <w:iCs/>
        </w:rPr>
        <w:t>IEEE Computer</w:t>
      </w:r>
      <w:r>
        <w:t>, 29(2), 38–47. doi:10.1109/2.485845.</w:t>
      </w:r>
      <w:r>
        <w:br/>
        <w:t xml:space="preserve">Schneider, P., Alvarez-Coello, D., Le-Tuan, A., Nguyen-Duc, M., &amp; Le-Phuoc, D. (2022). Stream Reasoning Playground. In </w:t>
      </w:r>
      <w:r>
        <w:rPr>
          <w:i/>
          <w:iCs/>
        </w:rPr>
        <w:t>The Semantic Web (ESWC 2022)</w:t>
      </w:r>
      <w:r>
        <w:t xml:space="preserve"> (pp. 406–424). Springer LNCS. doi:10.1007/978-3-031-06981-9_24.</w:t>
      </w:r>
      <w:r>
        <w:br/>
        <w:t xml:space="preserve">Ur, B., McManus, E., Ho, M. P. Y., &amp; Littman, M. L. (2014). Practical Trigger-Action Programming in the Smart Home. In </w:t>
      </w:r>
      <w:r>
        <w:rPr>
          <w:i/>
          <w:iCs/>
        </w:rPr>
        <w:t>Proceedings of CHI 2014</w:t>
      </w:r>
      <w:r>
        <w:t>.</w:t>
      </w:r>
      <w:r>
        <w:br/>
        <w:t xml:space="preserve">Ur, B., Ho, M. P. Y., Brawner, S., Lee, J., Mennicken, S., Picard, N., &amp; others. (2016). Trigger-Action Programming in the Wild: An Analysis of 200,000 IFTTT Recipes. In </w:t>
      </w:r>
      <w:r>
        <w:rPr>
          <w:i/>
          <w:iCs/>
        </w:rPr>
        <w:t>Proceedings of CHI 2016</w:t>
      </w:r>
      <w:r>
        <w:t>.</w:t>
      </w:r>
      <w:r>
        <w:br/>
        <w:t xml:space="preserve">Xing, Y., Hu, L., Du, X., Shen, Z., Hu, J., &amp; Wang, F. (2024). CCDF-TAP: A Context-Aware Conflict Detection Framework for IoT Trigger-Action Programming with Graph Neural Network. </w:t>
      </w:r>
      <w:r>
        <w:rPr>
          <w:i/>
          <w:iCs/>
        </w:rPr>
        <w:t>IEEE Internet of Things Journal</w:t>
      </w:r>
      <w:r>
        <w:t>, 11, 31534–31544. doi:10.1109/JIOT.2024.3418459.</w:t>
      </w:r>
      <w:bookmarkStart w:id="63" w:name="citations"/>
      <w:bookmarkEnd w:id="0"/>
      <w:bookmarkEnd w:id="1"/>
      <w:bookmarkEnd w:id="62"/>
      <w:bookmarkEnd w:id="63"/>
    </w:p>
    <w:sectPr w:rsidR="00D07B6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5660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C590CD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26F00CED"/>
    <w:multiLevelType w:val="multilevel"/>
    <w:tmpl w:val="437E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0355BD"/>
    <w:multiLevelType w:val="multilevel"/>
    <w:tmpl w:val="0B74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123566">
    <w:abstractNumId w:val="0"/>
  </w:num>
  <w:num w:numId="2" w16cid:durableId="3168126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89293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4060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880318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815202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32026424">
    <w:abstractNumId w:val="2"/>
  </w:num>
  <w:num w:numId="8" w16cid:durableId="516697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07B66"/>
    <w:rsid w:val="00146282"/>
    <w:rsid w:val="001758DD"/>
    <w:rsid w:val="00530887"/>
    <w:rsid w:val="00742CA3"/>
    <w:rsid w:val="008347D7"/>
    <w:rsid w:val="00C964FD"/>
    <w:rsid w:val="00D07B66"/>
    <w:rsid w:val="00E96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DF5E3"/>
  <w15:docId w15:val="{87FB6EFC-4574-494D-837E-20CDBFB6A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7126</Words>
  <Characters>40623</Characters>
  <Application>Microsoft Office Word</Application>
  <DocSecurity>0</DocSecurity>
  <Lines>338</Lines>
  <Paragraphs>95</Paragraphs>
  <ScaleCrop>false</ScaleCrop>
  <Company/>
  <LinksUpToDate>false</LinksUpToDate>
  <CharactersWithSpaces>47654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Rron Jahja</cp:lastModifiedBy>
  <cp:revision>5</cp:revision>
  <dcterms:created xsi:type="dcterms:W3CDTF">2026-03-01T22:28:00Z</dcterms:created>
  <dcterms:modified xsi:type="dcterms:W3CDTF">2026-03-14T22:50:00Z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