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434343"/>
          <w:sz w:val="16"/>
          <w:szCs w:val="16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1533525</wp:posOffset>
            </wp:positionH>
            <wp:positionV relativeFrom="paragraph">
              <wp:posOffset>0</wp:posOffset>
            </wp:positionV>
            <wp:extent cx="2300288" cy="683973"/>
            <wp:effectExtent b="0" l="0" r="0" t="0"/>
            <wp:wrapTopAndBottom distB="114300" distT="114300"/>
            <wp:docPr descr="member_logo_QC_Cegep_de_Abitibi-Temiscamingue.png" id="1" name="image2.png"/>
            <a:graphic>
              <a:graphicData uri="http://schemas.openxmlformats.org/drawingml/2006/picture">
                <pic:pic>
                  <pic:nvPicPr>
                    <pic:cNvPr descr="member_logo_QC_Cegep_de_Abitibi-Temiscamingu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683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line="276" w:lineRule="auto"/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  <w:sz w:val="96"/>
          <w:szCs w:val="96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434343"/>
          <w:sz w:val="48"/>
          <w:szCs w:val="48"/>
          <w:rtl w:val="0"/>
        </w:rPr>
        <w:t xml:space="preserve">Amour Du Malt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Document de 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Prénom 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2018-01-10</w:t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420-468-AT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.000000000000213" w:firstLine="0"/>
        <w:contextualSpacing w:val="0"/>
        <w:jc w:val="center"/>
        <w:rPr>
          <w:rFonts w:ascii="Roboto" w:cs="Roboto" w:eastAsia="Roboto" w:hAnsi="Roboto"/>
          <w:color w:val="434343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Suivi des changements</w:t>
      </w:r>
    </w:p>
    <w:tbl>
      <w:tblPr>
        <w:tblStyle w:val="Table1"/>
        <w:tblW w:w="8985.0" w:type="dxa"/>
        <w:jc w:val="left"/>
        <w:tblInd w:w="0.0" w:type="dxa"/>
        <w:tblBorders>
          <w:top w:color="e69138" w:space="0" w:sz="8" w:val="single"/>
          <w:left w:color="e69138" w:space="0" w:sz="8" w:val="single"/>
          <w:bottom w:color="e69138" w:space="0" w:sz="8" w:val="single"/>
          <w:right w:color="e69138" w:space="0" w:sz="8" w:val="single"/>
          <w:insideH w:color="e69138" w:space="0" w:sz="8" w:val="single"/>
          <w:insideV w:color="e69138" w:space="0" w:sz="8" w:val="single"/>
        </w:tblBorders>
        <w:tblLayout w:type="fixed"/>
        <w:tblLook w:val="0600"/>
      </w:tblPr>
      <w:tblGrid>
        <w:gridCol w:w="1965"/>
        <w:gridCol w:w="5265"/>
        <w:gridCol w:w="1755"/>
        <w:tblGridChange w:id="0">
          <w:tblGrid>
            <w:gridCol w:w="1965"/>
            <w:gridCol w:w="5265"/>
            <w:gridCol w:w="1755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(aaa-mm-jj)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Description du changement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Origine de la demande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2018-01-18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Rédaction initiale du document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Initiale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b w:val="1"/>
          <w:color w:val="4343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6"/>
          <w:szCs w:val="36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tyjcwt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Objectifs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3dy6vkm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Portée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1t3h5sf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Références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4d34og8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Définitions, abréviations, acronymes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2s8eyo1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Description du projet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17dp8vu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Spécifications fonctionnelles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3rdcrjn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Spécifications non fonctionnelles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26in1rg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Aptitude fonctionnelle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lnxbz9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Efficacité du rendement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35nkun2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Compatibilité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1ksv4uv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Facilité d’utilisation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44sinio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Fiabilité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2jxsxqh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Sécurité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z337ya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Maintenabilité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3j2qqm3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Portabilité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rFonts w:ascii="Roboto" w:cs="Roboto" w:eastAsia="Roboto" w:hAnsi="Roboto"/>
              <w:color w:val="434343"/>
              <w:u w:val="single"/>
            </w:rPr>
          </w:pPr>
          <w:hyperlink w:anchor="_1y810tw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Contraintes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Roboto" w:cs="Roboto" w:eastAsia="Roboto" w:hAnsi="Roboto"/>
              <w:color w:val="434343"/>
              <w:u w:val="single"/>
            </w:rPr>
          </w:pPr>
          <w:hyperlink w:anchor="_4i7ojhp">
            <w:r w:rsidDel="00000000" w:rsidR="00000000" w:rsidRPr="00000000">
              <w:rPr>
                <w:rFonts w:ascii="Roboto" w:cs="Roboto" w:eastAsia="Roboto" w:hAnsi="Roboto"/>
                <w:color w:val="434343"/>
                <w:u w:val="single"/>
                <w:rtl w:val="0"/>
              </w:rPr>
              <w:t xml:space="preserve">Documentation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  <w:rPr>
          <w:rFonts w:ascii="Roboto" w:cs="Roboto" w:eastAsia="Roboto" w:hAnsi="Roboto"/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2et92p0" w:id="4"/>
      <w:bookmarkEnd w:id="4"/>
      <w:r w:rsidDel="00000000" w:rsidR="00000000" w:rsidRPr="00000000">
        <w:rPr>
          <w:color w:val="434343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tyjcwt" w:id="5"/>
      <w:bookmarkEnd w:id="5"/>
      <w:r w:rsidDel="00000000" w:rsidR="00000000" w:rsidRPr="00000000">
        <w:rPr>
          <w:color w:val="434343"/>
          <w:rtl w:val="0"/>
        </w:rPr>
        <w:t xml:space="preserve">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Ce document de spécifications décrit les exigences à respecter tout au long du développement de _______V______________ pour ________________________.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Portée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Ce document de spécifications s’applique à ___________________, qui sera développée par ______________ dans le cadre du cours 420-468-AT au programme Informatique de gestion du Cégep de l’Abitibi-Témiscamingue.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Ce document définit l’ensemble des spécifications de l’application pour qu’elle réponde au besoin du client.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Ce document aura un impact sur la plupart des documents associés à la conception de l’application ainsi que sur son développement.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Références</w:t>
      </w:r>
    </w:p>
    <w:p w:rsidR="00000000" w:rsidDel="00000000" w:rsidP="00000000" w:rsidRDefault="00000000" w:rsidRPr="00000000">
      <w:pPr>
        <w:contextualSpacing w:val="0"/>
        <w:jc w:val="left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Référence 01 : ROCHON, Patrick, Gabarit de document de 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Définitions, abréviations, acronymes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Borders>
          <w:top w:color="e69138" w:space="0" w:sz="8" w:val="single"/>
          <w:left w:color="e69138" w:space="0" w:sz="8" w:val="single"/>
          <w:bottom w:color="e69138" w:space="0" w:sz="8" w:val="single"/>
          <w:right w:color="e69138" w:space="0" w:sz="8" w:val="single"/>
          <w:insideH w:color="e69138" w:space="0" w:sz="8" w:val="single"/>
          <w:insideV w:color="e69138" w:space="0" w:sz="8" w:val="single"/>
        </w:tblBorders>
        <w:tblLayout w:type="fixed"/>
        <w:tblLook w:val="0600"/>
      </w:tblPr>
      <w:tblGrid>
        <w:gridCol w:w="1965"/>
        <w:gridCol w:w="5265"/>
        <w:gridCol w:w="1785"/>
        <w:tblGridChange w:id="0">
          <w:tblGrid>
            <w:gridCol w:w="1965"/>
            <w:gridCol w:w="5265"/>
            <w:gridCol w:w="1785"/>
          </w:tblGrid>
        </w:tblGridChange>
      </w:tblGrid>
      <w:tr>
        <w:trPr>
          <w:trHeight w:val="24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Sigle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0" w:firstLine="0"/>
              <w:contextualSpacing w:val="0"/>
              <w:jc w:val="center"/>
              <w:rPr>
                <w:rFonts w:ascii="Roboto" w:cs="Roboto" w:eastAsia="Roboto" w:hAnsi="Roboto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0" w:firstLine="0"/>
              <w:contextualSpacing w:val="0"/>
              <w:jc w:val="left"/>
              <w:rPr>
                <w:rFonts w:ascii="Roboto" w:cs="Roboto" w:eastAsia="Roboto" w:hAnsi="Roboto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color w:val="434343"/>
        </w:rPr>
      </w:pPr>
      <w:bookmarkStart w:colFirst="0" w:colLast="0" w:name="_ozk42caqhuv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  <w:rPr>
          <w:color w:val="434343"/>
        </w:rPr>
      </w:pPr>
      <w:bookmarkStart w:colFirst="0" w:colLast="0" w:name="_t7wen69lnt9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  <w:rPr>
          <w:color w:val="434343"/>
        </w:rPr>
      </w:pPr>
      <w:bookmarkStart w:colFirst="0" w:colLast="0" w:name="_e971x9ckdzb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17dp8vu" w:id="12"/>
      <w:bookmarkEnd w:id="12"/>
      <w:r w:rsidDel="00000000" w:rsidR="00000000" w:rsidRPr="00000000">
        <w:rPr>
          <w:color w:val="434343"/>
          <w:rtl w:val="0"/>
        </w:rPr>
        <w:t xml:space="preserve">Spécifications fonctionnelles</w:t>
      </w:r>
      <w:r w:rsidDel="00000000" w:rsidR="00000000" w:rsidRPr="00000000">
        <w:rPr>
          <w:rtl w:val="0"/>
        </w:rPr>
      </w:r>
    </w:p>
    <w:tbl>
      <w:tblPr>
        <w:tblStyle w:val="Table3"/>
        <w:tblW w:w="744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4815"/>
        <w:gridCol w:w="1485"/>
        <w:tblGridChange w:id="0">
          <w:tblGrid>
            <w:gridCol w:w="1140"/>
            <w:gridCol w:w="4815"/>
            <w:gridCol w:w="1485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Besoin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SPEC-1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Spécifications non fonctionnelles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240" w:lineRule="auto"/>
        <w:ind w:left="800" w:hanging="440"/>
        <w:contextualSpacing w:val="0"/>
        <w:rPr>
          <w:rFonts w:ascii="Roboto" w:cs="Roboto" w:eastAsia="Roboto" w:hAnsi="Roboto"/>
          <w:color w:val="434343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Aptitude fonctionnelle</w:t>
      </w:r>
    </w:p>
    <w:tbl>
      <w:tblPr>
        <w:tblStyle w:val="Table4"/>
        <w:tblW w:w="90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085"/>
        <w:gridCol w:w="2955"/>
        <w:gridCol w:w="2670"/>
        <w:tblGridChange w:id="0">
          <w:tblGrid>
            <w:gridCol w:w="1320"/>
            <w:gridCol w:w="2085"/>
            <w:gridCol w:w="2955"/>
            <w:gridCol w:w="267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  <w:shd w:fill="d6e6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Exhaustivité fonctionnelle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  <w:shd w:fill="d6e6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  <w:shd w:fill="d6e6f4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Exactitude fonctionnelle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lnxbz9" w:id="15"/>
      <w:bookmarkEnd w:id="15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Efficacité du rendement </w:t>
      </w:r>
    </w:p>
    <w:tbl>
      <w:tblPr>
        <w:tblStyle w:val="Table5"/>
        <w:tblW w:w="90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00"/>
        <w:tblGridChange w:id="0">
          <w:tblGrid>
            <w:gridCol w:w="1320"/>
            <w:gridCol w:w="2340"/>
            <w:gridCol w:w="2700"/>
            <w:gridCol w:w="270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Comportement vis-à-vis du temps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color w:val="434343"/>
          <w:sz w:val="14"/>
          <w:szCs w:val="14"/>
        </w:rPr>
      </w:pPr>
      <w:bookmarkStart w:colFirst="0" w:colLast="0" w:name="_rdak2zel13i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color w:val="434343"/>
          <w:sz w:val="14"/>
          <w:szCs w:val="14"/>
        </w:rPr>
      </w:pPr>
      <w:bookmarkStart w:colFirst="0" w:colLast="0" w:name="_xmo9orvb52n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35nkun2" w:id="18"/>
      <w:bookmarkEnd w:id="18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Compatibilité</w:t>
      </w:r>
    </w:p>
    <w:tbl>
      <w:tblPr>
        <w:tblStyle w:val="Table6"/>
        <w:tblW w:w="90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00"/>
        <w:tblGridChange w:id="0">
          <w:tblGrid>
            <w:gridCol w:w="1320"/>
            <w:gridCol w:w="2340"/>
            <w:gridCol w:w="2700"/>
            <w:gridCol w:w="270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Interopérabilité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L'application doit communiquer avec les APIs tierces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1ksv4uv" w:id="19"/>
      <w:bookmarkEnd w:id="19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Facilité d’utilisation</w:t>
      </w:r>
    </w:p>
    <w:tbl>
      <w:tblPr>
        <w:tblStyle w:val="Table7"/>
        <w:tblW w:w="907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15"/>
        <w:tblGridChange w:id="0">
          <w:tblGrid>
            <w:gridCol w:w="1320"/>
            <w:gridCol w:w="2340"/>
            <w:gridCol w:w="2700"/>
            <w:gridCol w:w="2715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Opérabilité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% des essais sont positifs.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Pertinence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% des essais sont positifs.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44sinio" w:id="20"/>
      <w:bookmarkEnd w:id="20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Fiabilité</w:t>
      </w:r>
    </w:p>
    <w:tbl>
      <w:tblPr>
        <w:tblStyle w:val="Table8"/>
        <w:tblW w:w="90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30"/>
        <w:tblGridChange w:id="0">
          <w:tblGrid>
            <w:gridCol w:w="1320"/>
            <w:gridCol w:w="2340"/>
            <w:gridCol w:w="2700"/>
            <w:gridCol w:w="273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Maturité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Fonctionne sans interruption.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2jxsxqh" w:id="21"/>
      <w:bookmarkEnd w:id="21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Sécurité</w:t>
      </w:r>
    </w:p>
    <w:tbl>
      <w:tblPr>
        <w:tblStyle w:val="Table9"/>
        <w:tblW w:w="90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30"/>
        <w:tblGridChange w:id="0">
          <w:tblGrid>
            <w:gridCol w:w="1320"/>
            <w:gridCol w:w="2340"/>
            <w:gridCol w:w="2700"/>
            <w:gridCol w:w="273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Non-réfutation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Intégrité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Authenticité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  <w:tr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Confidentialité</w:t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6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X% des essais sont positifs.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  <w:sz w:val="14"/>
          <w:szCs w:val="14"/>
        </w:rPr>
      </w:pPr>
      <w:bookmarkStart w:colFirst="0" w:colLast="0" w:name="_9jdhiatyl09l" w:id="22"/>
      <w:bookmarkEnd w:id="22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color w:val="434343"/>
        </w:rPr>
      </w:pPr>
      <w:bookmarkStart w:colFirst="0" w:colLast="0" w:name="_pq6w9hcu9ll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z337ya" w:id="24"/>
      <w:bookmarkEnd w:id="24"/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Maintenabilité</w:t>
      </w:r>
    </w:p>
    <w:tbl>
      <w:tblPr>
        <w:tblStyle w:val="Table10"/>
        <w:tblW w:w="90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30"/>
        <w:tblGridChange w:id="0">
          <w:tblGrid>
            <w:gridCol w:w="1320"/>
            <w:gridCol w:w="2340"/>
            <w:gridCol w:w="2700"/>
            <w:gridCol w:w="273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Analysabilité, Modifiabilité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</w:t>
            </w: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% des essaies sont positifs.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bookmarkStart w:colFirst="0" w:colLast="0" w:name="_3j2qqm3" w:id="25"/>
      <w:bookmarkEnd w:id="25"/>
      <w:r w:rsidDel="00000000" w:rsidR="00000000" w:rsidRPr="00000000">
        <w:rPr>
          <w:rFonts w:ascii="Roboto" w:cs="Roboto" w:eastAsia="Roboto" w:hAnsi="Roboto"/>
          <w:color w:val="4343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Portabilité</w:t>
      </w:r>
    </w:p>
    <w:tbl>
      <w:tblPr>
        <w:tblStyle w:val="Table11"/>
        <w:tblW w:w="907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340"/>
        <w:gridCol w:w="2700"/>
        <w:gridCol w:w="2715"/>
        <w:tblGridChange w:id="0">
          <w:tblGrid>
            <w:gridCol w:w="1320"/>
            <w:gridCol w:w="2340"/>
            <w:gridCol w:w="2700"/>
            <w:gridCol w:w="2715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Propriété ISO 25000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Mesure quantitative</w:t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Aucune spécifications concernant la portabilité pour le moment.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1y810tw" w:id="26"/>
      <w:bookmarkEnd w:id="26"/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Contraintes</w:t>
      </w:r>
    </w:p>
    <w:tbl>
      <w:tblPr>
        <w:tblStyle w:val="Table12"/>
        <w:tblW w:w="91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75"/>
        <w:gridCol w:w="7530"/>
        <w:tblGridChange w:id="0">
          <w:tblGrid>
            <w:gridCol w:w="1575"/>
            <w:gridCol w:w="753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30" w:firstLine="0"/>
              <w:contextualSpacing w:val="0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color w:val="434343"/>
        </w:rPr>
      </w:pPr>
      <w:bookmarkStart w:colFirst="0" w:colLast="0" w:name="_eh9ftrncsfo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color w:val="434343"/>
        </w:rPr>
      </w:pPr>
      <w:bookmarkStart w:colFirst="0" w:colLast="0" w:name="_6kfe837r3i6p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-30" w:firstLine="0"/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bookmarkStart w:colFirst="0" w:colLast="0" w:name="_4i7ojhp" w:id="29"/>
      <w:bookmarkEnd w:id="29"/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Documentation</w:t>
      </w:r>
    </w:p>
    <w:tbl>
      <w:tblPr>
        <w:tblStyle w:val="Table13"/>
        <w:tblW w:w="912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0"/>
        <w:gridCol w:w="3120"/>
        <w:gridCol w:w="4710"/>
        <w:tblGridChange w:id="0">
          <w:tblGrid>
            <w:gridCol w:w="1290"/>
            <w:gridCol w:w="3120"/>
            <w:gridCol w:w="4710"/>
          </w:tblGrid>
        </w:tblGridChange>
      </w:tblGrid>
      <w:t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Numéro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Titre du document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Description</w:t>
            </w:r>
          </w:p>
        </w:tc>
      </w:tr>
      <w:tr>
        <w:trPr>
          <w:trHeight w:val="40" w:hRule="atLeast"/>
        </w:trPr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SPNF-XX</w:t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9138" w:space="0" w:sz="8" w:val="single"/>
              <w:left w:color="000000" w:space="0" w:sz="0" w:val="nil"/>
              <w:bottom w:color="e69138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-30" w:firstLine="0"/>
      <w:contextualSpacing w:val="1"/>
    </w:pPr>
    <w:rPr>
      <w:rFonts w:ascii="Roboto" w:cs="Roboto" w:eastAsia="Roboto" w:hAnsi="Roboto"/>
      <w:b w:val="1"/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800" w:hanging="440"/>
      <w:contextualSpacing w:val="1"/>
    </w:pPr>
    <w:rPr>
      <w:rFonts w:ascii="Roboto" w:cs="Roboto" w:eastAsia="Roboto" w:hAnsi="Roboto"/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