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Histórico de Revisão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tbl>
      <w:tblPr>
        <w:tblStyle w:val="Table1"/>
        <w:bidi w:val="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b8cce4" w:space="0" w:sz="6" w:val="single"/>
              <w:left w:color="b8cce4" w:space="0" w:sz="6" w:val="single"/>
              <w:bottom w:color="95b3d7" w:space="0" w:sz="12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Data </w:t>
            </w:r>
          </w:p>
        </w:tc>
        <w:tc>
          <w:tcPr>
            <w:tcBorders>
              <w:top w:color="b8cce4" w:space="0" w:sz="6" w:val="single"/>
              <w:bottom w:color="95b3d7" w:space="0" w:sz="12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Versão </w:t>
            </w:r>
          </w:p>
        </w:tc>
        <w:tc>
          <w:tcPr>
            <w:tcBorders>
              <w:top w:color="b8cce4" w:space="0" w:sz="6" w:val="single"/>
              <w:bottom w:color="95b3d7" w:space="0" w:sz="12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Descrição </w:t>
            </w:r>
          </w:p>
        </w:tc>
        <w:tc>
          <w:tcPr>
            <w:tcBorders>
              <w:top w:color="b8cce4" w:space="0" w:sz="6" w:val="single"/>
              <w:bottom w:color="95b3d7" w:space="0" w:sz="12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Autor </w:t>
            </w:r>
          </w:p>
        </w:tc>
      </w:tr>
      <w:tr>
        <w:tc>
          <w:tcPr>
            <w:tcBorders>
              <w:left w:color="b8cce4" w:space="0" w:sz="6" w:val="single"/>
              <w:bottom w:color="b8cce4" w:space="0" w:sz="6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07/04/2016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b8cce4" w:space="0" w:sz="6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1.0 </w:t>
            </w:r>
          </w:p>
        </w:tc>
        <w:tc>
          <w:tcPr>
            <w:tcBorders>
              <w:bottom w:color="b8cce4" w:space="0" w:sz="6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Criaçãododocumento. </w:t>
            </w:r>
          </w:p>
        </w:tc>
        <w:tc>
          <w:tcPr>
            <w:tcBorders>
              <w:bottom w:color="b8cce4" w:space="0" w:sz="6" w:val="single"/>
              <w:right w:color="b8cce4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RodrigoRosattiGalvão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Sumário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1.Introdução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Escrever sobre a Introdução aqui.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1.1.Escopo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Nome do Projeto: TempNow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Tema: Conversor de temperatura.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Responsável pelo Projeto: Rodrigo Rosatti Galvão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1.2.Descrição dos Stakeholders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Aluno Rodrigo Rosatti Galvão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 por todas as etapas do desenvolvimento de software, desde a coleta de informações com o cliente, até a entrega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Aluno Rogério Hirata Takashi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Estabelece e negocia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