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-10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QUALIFICATION: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a Security Analyst and Penetration Tester, I have a background in Full-Stack Ruby development and a passion for ethical hacking. Throughout my 17-year IT career, I have dedicated over ten years to web development. More recently, I have focused on expanding my expertise in penetration testing, red-teaming, and digital forensics to transition to a career in Cyber Security.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During my 9-year tenure at a large Shared and Cloud Hosting company, I worked in various departments and positions, gaining extensive experience in troubleshooting, debugging, and fixing code written by other developers and detecting and resolving security flaws and bugs. Following that, I spent another five years working as a Full-Stack Ruby Developer for multiple US and European companies. I also designed and developed intentionally vulnerable applications for CTF hacking games, providing a platform for security enthusiasts to practice and enhance their skills.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addition to the above, my previous experience includes: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 and Mobile Application Security Assessments.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AWS, EKS, and Kubernetes Security Audits.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IoT and Embedded Systems Security Analysis.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MacOS and Windows Digital Forensics.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Writing tools and scripts using Python, Ruby, Bash, Go, C#, C++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 in the core team of NoNameCon 2021 - the practical cybersecurity conference.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Preparing tasks and participating in various CTF security games as a game master.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 with legacy code, debugging, refactoring, and optimizing web applications.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 as a Team Lead within four projects at a time, leading both local and remote team members. Mentoring and supervising junior and middle ruby/js developers.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Mentoring tech support agents and supervisors for a cloud hosting company.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Ind w:w="-10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PERSONAL INFORMATION: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</w:t>
        <w:tab/>
      </w:r>
      <w:r w:rsidDel="00000000" w:rsidR="00000000" w:rsidRPr="00000000">
        <w:rPr>
          <w:highlight w:val="white"/>
          <w:rtl w:val="0"/>
        </w:rPr>
        <w:t xml:space="preserve">English – C2 Proficient(according to the CEFR) </w:t>
        <w:tab/>
        <w:t xml:space="preserve">Ukrainian –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9.0" w:type="dxa"/>
        <w:jc w:val="left"/>
        <w:tblInd w:w="-10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Zaporizhzhya National University of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Specialty: </w:t>
        <w:tab/>
        <w:t xml:space="preserve">Economic Cybernetics</w:t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Degree: </w:t>
        <w:tab/>
        <w:t xml:space="preserve">Mathematician, Economist. Bachelor Degree 2007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9.0" w:type="dxa"/>
        <w:jc w:val="left"/>
        <w:tblInd w:w="-10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EXPERIENCE: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https://linkedin.com/in/rrott</w:t>
        </w:r>
      </w:hyperlink>
      <w:r w:rsidDel="00000000" w:rsidR="00000000" w:rsidRPr="00000000">
        <w:rPr>
          <w:highlight w:val="white"/>
          <w:rtl w:val="0"/>
        </w:rPr>
        <w:t xml:space="preserve">  GitHub: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https://github.com/rrott</w:t>
        </w:r>
      </w:hyperlink>
      <w:r w:rsidDel="00000000" w:rsidR="00000000" w:rsidRPr="00000000">
        <w:rPr>
          <w:highlight w:val="white"/>
          <w:rtl w:val="0"/>
        </w:rPr>
        <w:t xml:space="preserve">  Portfolio: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https://rrott.com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55"/>
        <w:gridCol w:w="1665"/>
        <w:gridCol w:w="1455"/>
        <w:gridCol w:w="990"/>
        <w:gridCol w:w="2850"/>
        <w:tblGridChange w:id="0">
          <w:tblGrid>
            <w:gridCol w:w="2655"/>
            <w:gridCol w:w="1665"/>
            <w:gridCol w:w="1455"/>
            <w:gridCol w:w="990"/>
            <w:gridCol w:w="2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120" w:lineRule="auto"/>
              <w:ind w:left="0" w:firstLine="0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Berezha Security Group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Nov 2019 – Present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28">
            <w:pPr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Roles: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u w:val="single"/>
                  <w:rtl w:val="0"/>
                </w:rPr>
                <w:t xml:space="preserve">https://bsg.tech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BSG is a cybersecurity firm focused on application security, penetration testing, information security consulting, and professional training.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Security Analyst and Penetration Tester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(2021 - Present)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(2019 - 2021) part-time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3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Web and Mobile Application Security Assessments.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3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Cloud and Kubernetes Security Audits.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3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CI/CD Security Assessments.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3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Embedded Systems Security Analysis.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3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MacOS and Windows Digital Forensics.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3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Business Continuity Disaster Recovery(BCDR) Plan preparation.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3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Threat Modeling using “Threat Dragon” and “Elevation of Privilege”.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3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Architected and developed an internal security assessment platform designed to streamline penetration testing processes, automate comprehensive report generation, and seamlessly integrate with external data sources to enhance cybersecurity operations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41">
            <w:pPr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42">
            <w:pPr>
              <w:spacing w:after="24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CoinLoan                                                       May 2021 - Nov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46">
            <w:pPr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Roles: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https://coinloan.io/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Crypto Platform to manage cryptocurrencies, stablecoins, and fiat.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Security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4D">
            <w:pPr>
              <w:numPr>
                <w:ilvl w:val="0"/>
                <w:numId w:val="13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Focused on preparing the organization for a SOC 2 compliance audit.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3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Conducted regular Vulnerability Scans. Configured CI/CD and developed automated tools for scanning and analyzing source code, docker containers, and internal infrastructure.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3"/>
              </w:numPr>
              <w:ind w:left="425.19685039370046" w:hanging="425.19685039370046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Provided internal Cloud(AWS), Web, and Mobile Application Security Assessments.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54">
            <w:pPr>
              <w:pageBreakBefore w:val="0"/>
              <w:spacing w:after="240" w:before="120" w:lineRule="auto"/>
              <w:ind w:left="0" w:firstLine="0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55">
            <w:pPr>
              <w:pageBreakBefore w:val="0"/>
              <w:spacing w:after="24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Cater2.me                                                       Oct 2017 – Feb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59">
            <w:pPr>
              <w:pageBreakBefore w:val="0"/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Project/Roles: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5A">
            <w:pPr>
              <w:pageBreakBefore w:val="0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Cater2.me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 US catering company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5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Conducted internal penetration tests, including both black-box and white-box testing. Communicated with the QAs to explain the identified bugs and provided them with the necessary guidance on how to integrate Burp Suite into their current QA testing workflow.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425.19685039370046" w:hanging="425.19685039370046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Maintained website and admin console.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ind w:left="425.19685039370046" w:hanging="425.19685039370046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 a part of a distributed team, I developed several internal tools and applications for clients, vendors, and operators.</w:t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67">
            <w:pPr>
              <w:pageBreakBefore w:val="0"/>
              <w:spacing w:after="240" w:before="120" w:lineRule="auto"/>
              <w:ind w:left="0" w:firstLine="0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68">
            <w:pPr>
              <w:pageBreakBefore w:val="0"/>
              <w:spacing w:after="24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Sphere Software</w:t>
            </w:r>
            <w:r w:rsidDel="00000000" w:rsidR="00000000" w:rsidRPr="00000000">
              <w:rPr>
                <w:rtl w:val="0"/>
              </w:rPr>
              <w:t xml:space="preserve">(outsourcing company)</w:t>
            </w:r>
            <w:r w:rsidDel="00000000" w:rsidR="00000000" w:rsidRPr="00000000">
              <w:rPr>
                <w:b w:val="1"/>
                <w:rtl w:val="0"/>
              </w:rPr>
              <w:t xml:space="preserve">        Mar 2016 – Oct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6C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6D">
            <w:pPr>
              <w:pageBreakBefore w:val="0"/>
              <w:rPr/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Groupon</w:t>
              </w:r>
            </w:hyperlink>
            <w:r w:rsidDel="00000000" w:rsidR="00000000" w:rsidRPr="00000000">
              <w:rPr>
                <w:rtl w:val="0"/>
              </w:rPr>
              <w:t xml:space="preserve"> - US global e-commerce marketplace connecting subscribers with local merchants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Back-end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7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as a part of a big distributed team, implementing back-end entities and business logic for Groupon’s notification engine that handled SMS communication for Online Booking. </w:t>
            </w:r>
          </w:p>
          <w:p w:rsidR="00000000" w:rsidDel="00000000" w:rsidP="00000000" w:rsidRDefault="00000000" w:rsidRPr="00000000" w14:paraId="00000073">
            <w:pPr>
              <w:pageBreakBefore w:val="0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77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78">
            <w:pPr>
              <w:pageBreakBefore w:val="0"/>
              <w:rPr/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Chairlift Expense</w:t>
              </w:r>
            </w:hyperlink>
            <w:r w:rsidDel="00000000" w:rsidR="00000000" w:rsidRPr="00000000">
              <w:rPr>
                <w:rtl w:val="0"/>
              </w:rPr>
              <w:t xml:space="preserve"> - internal project for handling the company's expenses</w:t>
            </w:r>
          </w:p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Team Lead,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4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Held planning sessions and architecture discussions. 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4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estimating and allocating resources, writing stories, decision-making and negotiating, communicating with the project owner, and providing code reviews.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85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86">
            <w:pPr>
              <w:pageBreakBefore w:val="0"/>
              <w:rPr/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Dabble</w:t>
              </w:r>
            </w:hyperlink>
            <w:r w:rsidDel="00000000" w:rsidR="00000000" w:rsidRPr="00000000">
              <w:rPr>
                <w:rtl w:val="0"/>
              </w:rPr>
              <w:t xml:space="preserve"> - A curated platform to discover and share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>
                <w:color w:val="31849b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2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Re-implemented SSO(Single sign-on) service.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2"/>
              </w:numPr>
              <w:ind w:left="425.19685039370046" w:hanging="425.19685039370046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both front-end and back-end parts.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91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92">
            <w:pPr>
              <w:pageBreakBefore w:val="0"/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Enova</w:t>
              </w:r>
            </w:hyperlink>
            <w:r w:rsidDel="00000000" w:rsidR="00000000" w:rsidRPr="00000000">
              <w:rPr>
                <w:rtl w:val="0"/>
              </w:rPr>
              <w:t xml:space="preserve"> - a financial technology company that provides online financial services through the AI and machine learning-powered platform.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Team Lead,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a large enterprise project in the financial sphere, led the local team, estimated and allocated resources. 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Held code reviews and refactored/rewrote legacy code. 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9E">
            <w:pPr>
              <w:pageBreakBefore w:val="0"/>
              <w:spacing w:after="240" w:before="120" w:lineRule="auto"/>
              <w:ind w:left="0" w:firstLine="0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9F">
            <w:pPr>
              <w:pageBreakBefore w:val="0"/>
              <w:spacing w:after="24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Ecommerce LLC                                            Sep 2006 – Oct 2015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A3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Project/Roles: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A4">
            <w:pPr>
              <w:pageBreakBefore w:val="0"/>
              <w:rPr/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CloudByIX.com</w:t>
              </w:r>
            </w:hyperlink>
            <w:r w:rsidDel="00000000" w:rsidR="00000000" w:rsidRPr="00000000">
              <w:rPr>
                <w:rtl w:val="0"/>
              </w:rPr>
              <w:t xml:space="preserve"> - Cloud hosting platform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IT department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(Sept 2012 - Oct 2015)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Team Lead 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Middle developer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Junior developer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AF">
            <w:pPr>
              <w:pageBreakBefore w:val="0"/>
              <w:numPr>
                <w:ilvl w:val="0"/>
                <w:numId w:val="9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Provided several internal penetration tests and held lectures and workshops about cybersecurity best practices. </w:t>
            </w:r>
          </w:p>
          <w:p w:rsidR="00000000" w:rsidDel="00000000" w:rsidP="00000000" w:rsidRDefault="00000000" w:rsidRPr="00000000" w14:paraId="000000B0">
            <w:pPr>
              <w:pageBreakBefore w:val="0"/>
              <w:numPr>
                <w:ilvl w:val="0"/>
                <w:numId w:val="9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Initiated opening the company's own public Bug Bounty program.</w:t>
            </w:r>
          </w:p>
          <w:p w:rsidR="00000000" w:rsidDel="00000000" w:rsidP="00000000" w:rsidRDefault="00000000" w:rsidRPr="00000000" w14:paraId="000000B1">
            <w:pPr>
              <w:pageBreakBefore w:val="0"/>
              <w:numPr>
                <w:ilvl w:val="0"/>
                <w:numId w:val="9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Supervised the whole life cycle of 4 projects, starting from initial proposal and requirements gathering, finishing execution, and release planning.</w:t>
            </w:r>
          </w:p>
          <w:p w:rsidR="00000000" w:rsidDel="00000000" w:rsidP="00000000" w:rsidRDefault="00000000" w:rsidRPr="00000000" w14:paraId="000000B2">
            <w:pPr>
              <w:pageBreakBefore w:val="0"/>
              <w:numPr>
                <w:ilvl w:val="0"/>
                <w:numId w:val="9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Mentored and supervised the UI Team of 5 developers.</w:t>
            </w:r>
          </w:p>
          <w:p w:rsidR="00000000" w:rsidDel="00000000" w:rsidP="00000000" w:rsidRDefault="00000000" w:rsidRPr="00000000" w14:paraId="000000B3">
            <w:pPr>
              <w:pageBreakBefore w:val="0"/>
              <w:numPr>
                <w:ilvl w:val="0"/>
                <w:numId w:val="9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Developed OpenSource libraries. Maintained internal ruby gems.</w:t>
            </w:r>
          </w:p>
          <w:p w:rsidR="00000000" w:rsidDel="00000000" w:rsidP="00000000" w:rsidRDefault="00000000" w:rsidRPr="00000000" w14:paraId="000000B4">
            <w:pPr>
              <w:pageBreakBefore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B8">
            <w:pPr>
              <w:pageBreakBefore w:val="0"/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Projects: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B9">
            <w:pPr>
              <w:pageBreakBefore w:val="0"/>
              <w:rPr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IxWebhosting.com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HostExcellence.com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Shared and Cloud web hosting services.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2f2f2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Tech Support.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(Sept 2006 - Sept 2012)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Assistant Technical Manager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Supervisor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Tech Support Agent</w:t>
            </w:r>
          </w:p>
        </w:tc>
        <w:tc>
          <w:tcPr>
            <w:gridSpan w:val="4"/>
            <w:tcBorders>
              <w:left w:color="d9d9d9" w:space="0" w:sz="4" w:val="single"/>
              <w:bottom w:color="f2f2f2" w:space="0" w:sz="8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Mentored and led 1-2 new supervisors each year and taught more than 50 tech support agents.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Interacted with ~50 customers each day, improving their experience by fixing their websites and providing technical support.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Rewrote the onboarding process for newbies in the tech support department. Implemented internal education workflows, policies, and a wiki system.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9.0" w:type="dxa"/>
        <w:jc w:val="left"/>
        <w:tblInd w:w="-10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VOLUNTEERISM</w:t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widowControl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am a member of the NoNameCon 2021 core team - the Ukrainian community-built practical cybersecurity conference.</w:t>
      </w:r>
    </w:p>
    <w:p w:rsidR="00000000" w:rsidDel="00000000" w:rsidP="00000000" w:rsidRDefault="00000000" w:rsidRPr="00000000" w14:paraId="000000CF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 interest in ethical hacking has resulted in dozens of found and reported security issues in such services as rubygems.org, ZeroMail, tagged.com, opening CVE-2022-25854, etc.</w:t>
      </w:r>
    </w:p>
    <w:p w:rsidR="00000000" w:rsidDel="00000000" w:rsidP="00000000" w:rsidRDefault="00000000" w:rsidRPr="00000000" w14:paraId="000000D0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took part in CTFs as a Game Master and designed several vulnerable applications for UISGCon #10, #11, #12 (2014-2016) and “NoNameCon 2018” cybersecurity conferences.</w:t>
      </w:r>
    </w:p>
    <w:p w:rsidR="00000000" w:rsidDel="00000000" w:rsidP="00000000" w:rsidRDefault="00000000" w:rsidRPr="00000000" w14:paraId="000000D1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was a team member of the UA30CTF Ukrainian student cybersecurity CTF competition held by SSSCIP, The State Service for Special Communications and Information Protection of Ukraine.</w:t>
      </w:r>
    </w:p>
    <w:p w:rsidR="00000000" w:rsidDel="00000000" w:rsidP="00000000" w:rsidRDefault="00000000" w:rsidRPr="00000000" w14:paraId="000000D2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Prepared a CTF game for «HackIT-2015» - the Cybersecurity Olympiad and International forum «Cybersecurity: Ukraine and the world.»</w:t>
      </w:r>
    </w:p>
    <w:p w:rsidR="00000000" w:rsidDel="00000000" w:rsidP="00000000" w:rsidRDefault="00000000" w:rsidRPr="00000000" w14:paraId="000000D3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Created websites and time tracking apps for the “OWASP Ukraine 2019” and “NoNameCon 2019” conferences.</w:t>
      </w:r>
    </w:p>
    <w:p w:rsidR="00000000" w:rsidDel="00000000" w:rsidP="00000000" w:rsidRDefault="00000000" w:rsidRPr="00000000" w14:paraId="000000D4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Held “Ruby for pen-testers” presentation on the very first OWASP Kyiv Chapter meetup and on the 11th Ruby Meditation meetup.</w:t>
      </w:r>
    </w:p>
    <w:p w:rsidR="00000000" w:rsidDel="00000000" w:rsidP="00000000" w:rsidRDefault="00000000" w:rsidRPr="00000000" w14:paraId="000000D5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Had a “Ruby Security Tips” talk at the OWASP Kyiv Chapter meetup.</w:t>
      </w:r>
    </w:p>
    <w:p w:rsidR="00000000" w:rsidDel="00000000" w:rsidP="00000000" w:rsidRDefault="00000000" w:rsidRPr="00000000" w14:paraId="000000D6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Partnered with 4 friends of mine to plan and execute several Front-End Meetups and the very first Hackathon in Zaporizhzhya city.</w:t>
      </w:r>
    </w:p>
    <w:p w:rsidR="00000000" w:rsidDel="00000000" w:rsidP="00000000" w:rsidRDefault="00000000" w:rsidRPr="00000000" w14:paraId="000000D7">
      <w:pPr>
        <w:pageBreakBefore w:val="0"/>
        <w:widowControl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Contributed to open-source projects, e.g., react-toolbox, gitlab-ce, phony, site_prism.vcr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140" w:right="11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ageBreakBefore w:val="0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rPr/>
    </w:pPr>
    <w:r w:rsidDel="00000000" w:rsidR="00000000" w:rsidRPr="00000000">
      <w:rPr>
        <w:b w:val="1"/>
        <w:sz w:val="28"/>
        <w:szCs w:val="28"/>
        <w:rtl w:val="0"/>
      </w:rPr>
      <w:t xml:space="preserve">Roman Rott</w:t>
      <w:tab/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rPr>
        <w:b w:val="1"/>
      </w:rPr>
    </w:pPr>
    <w:r w:rsidDel="00000000" w:rsidR="00000000" w:rsidRPr="00000000">
      <w:rPr>
        <w:rtl w:val="0"/>
      </w:rPr>
      <w:t xml:space="preserve">Security Analyst and Penetration Tester, former Web-developer </w:t>
      <w:tab/>
      <w:tab/>
      <w:t xml:space="preserve">Location: Kyiv, Ukraine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jc w:val="both"/>
      <w:rPr>
        <w:b w:val="1"/>
        <w:sz w:val="28"/>
        <w:szCs w:val="28"/>
      </w:rPr>
    </w:pPr>
    <w:r w:rsidDel="00000000" w:rsidR="00000000" w:rsidRPr="00000000">
      <w:rPr>
        <w:rtl w:val="0"/>
      </w:rPr>
      <w:t xml:space="preserve">Contact phone(Signal): +380-50-832-7234    </w:t>
      <w:tab/>
      <w:t xml:space="preserve">     </w:t>
    </w:r>
    <w:hyperlink r:id="rId1">
      <w:r w:rsidDel="00000000" w:rsidR="00000000" w:rsidRPr="00000000">
        <w:rPr>
          <w:u w:val="single"/>
          <w:rtl w:val="0"/>
        </w:rPr>
        <w:t xml:space="preserve">roman@rrott.com</w:t>
      </w:r>
    </w:hyperlink>
    <w:r w:rsidDel="00000000" w:rsidR="00000000" w:rsidRPr="00000000">
      <w:rPr>
        <w:rtl w:val="0"/>
      </w:rPr>
      <w:t xml:space="preserve"> / </w:t>
    </w:r>
    <w:hyperlink r:id="rId2">
      <w:r w:rsidDel="00000000" w:rsidR="00000000" w:rsidRPr="00000000">
        <w:rPr>
          <w:u w:val="single"/>
          <w:rtl w:val="0"/>
        </w:rPr>
        <w:t xml:space="preserve">roman.rott@owasp.org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pageBreakBefore w:val="0"/>
      <w:jc w:val="both"/>
      <w:rPr>
        <w:b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ter2.me" TargetMode="External"/><Relationship Id="rId10" Type="http://schemas.openxmlformats.org/officeDocument/2006/relationships/hyperlink" Target="https://coinloan.io/" TargetMode="External"/><Relationship Id="rId13" Type="http://schemas.openxmlformats.org/officeDocument/2006/relationships/hyperlink" Target="https://chairlift.io" TargetMode="External"/><Relationship Id="rId12" Type="http://schemas.openxmlformats.org/officeDocument/2006/relationships/hyperlink" Target="https://groupo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sg.tech/about-bsg/" TargetMode="External"/><Relationship Id="rId15" Type="http://schemas.openxmlformats.org/officeDocument/2006/relationships/hyperlink" Target="https://www.enova.com/" TargetMode="External"/><Relationship Id="rId14" Type="http://schemas.openxmlformats.org/officeDocument/2006/relationships/hyperlink" Target="https://dabble.co" TargetMode="External"/><Relationship Id="rId17" Type="http://schemas.openxmlformats.org/officeDocument/2006/relationships/hyperlink" Target="https://ixwebhosting.com" TargetMode="External"/><Relationship Id="rId16" Type="http://schemas.openxmlformats.org/officeDocument/2006/relationships/hyperlink" Target="https://www.cloudbyix.com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linkedin.com/in/rrott" TargetMode="External"/><Relationship Id="rId18" Type="http://schemas.openxmlformats.org/officeDocument/2006/relationships/hyperlink" Target="https://hostexcellence.com" TargetMode="External"/><Relationship Id="rId7" Type="http://schemas.openxmlformats.org/officeDocument/2006/relationships/hyperlink" Target="https://github.com/rrott" TargetMode="External"/><Relationship Id="rId8" Type="http://schemas.openxmlformats.org/officeDocument/2006/relationships/hyperlink" Target="https://rrott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roman@rrott.com" TargetMode="External"/><Relationship Id="rId2" Type="http://schemas.openxmlformats.org/officeDocument/2006/relationships/hyperlink" Target="mailto:roman.rott@owas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