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93"/>
        <w:gridCol w:w="1813"/>
        <w:gridCol w:w="743"/>
        <w:gridCol w:w="671"/>
        <w:gridCol w:w="727"/>
        <w:gridCol w:w="589"/>
        <w:gridCol w:w="2136"/>
        <w:gridCol w:w="873"/>
        <w:gridCol w:w="802"/>
        <w:gridCol w:w="858"/>
      </w:tblGrid>
      <w:tr w:rsidR="0052127C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Trait</w:t>
            </w: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Variance component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Variance explained (R</w:t>
            </w:r>
            <w:r w:rsidRPr="0094737F">
              <w:rPr>
                <w:rFonts w:ascii="Calibri" w:hAnsi="Calibri"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CI_low</w:t>
            </w:r>
            <w:proofErr w:type="spellEnd"/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94737F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CI_high</w:t>
            </w:r>
            <w:proofErr w:type="spellEnd"/>
          </w:p>
        </w:tc>
      </w:tr>
      <w:tr w:rsidR="0052127C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 vs. solo foraging</w:t>
            </w: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ED16D6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i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site</w:t>
            </w:r>
            <w:proofErr w:type="spellEnd"/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0.36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vertAlign w:val="subscript"/>
              </w:rPr>
              <w:t>site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fe</w:t>
            </w:r>
            <w:proofErr w:type="spellEnd"/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R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4.03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4.00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4.34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0.80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0.89</w:t>
            </w:r>
          </w:p>
        </w:tc>
      </w:tr>
      <w:tr w:rsidR="0052127C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 size</w:t>
            </w: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Pr="00C55F02" w:rsidRDefault="0052127C" w:rsidP="0052127C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Pr="00C55F02" w:rsidRDefault="0052127C" w:rsidP="0052127C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2127C" w:rsidRDefault="0052127C" w:rsidP="0052127C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i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site</w:t>
            </w:r>
            <w:proofErr w:type="spellEnd"/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vertAlign w:val="subscript"/>
              </w:rPr>
              <w:t>site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0.18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fe</w:t>
            </w:r>
            <w:proofErr w:type="spellEnd"/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</w:t>
            </w:r>
            <w:r w:rsidRPr="00ED16D6">
              <w:rPr>
                <w:rFonts w:ascii="Calibri" w:hAnsi="Calibri"/>
                <w:sz w:val="20"/>
                <w:vertAlign w:val="subscript"/>
              </w:rPr>
              <w:t>R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0.34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Group leadership</w:t>
            </w: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</w:t>
            </w:r>
            <w:r w:rsidRPr="00103F26">
              <w:rPr>
                <w:rFonts w:ascii="Calibri" w:hAnsi="Calibri"/>
                <w:sz w:val="20"/>
                <w:vertAlign w:val="subscript"/>
              </w:rPr>
              <w:t>i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0.23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0.42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proofErr w:type="spellStart"/>
            <w:r>
              <w:rPr>
                <w:rFonts w:ascii="Calibri" w:hAnsi="Calibri"/>
                <w:sz w:val="20"/>
              </w:rPr>
              <w:t>V</w:t>
            </w:r>
            <w:r w:rsidRPr="00103F26">
              <w:rPr>
                <w:rFonts w:ascii="Calibri" w:hAnsi="Calibri"/>
                <w:sz w:val="20"/>
                <w:vertAlign w:val="subscript"/>
              </w:rPr>
              <w:t>fe</w:t>
            </w:r>
            <w:proofErr w:type="spellEnd"/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</w:tr>
      <w:tr w:rsidR="00373E40" w:rsidTr="0052127C">
        <w:trPr>
          <w:cantSplit/>
          <w:jc w:val="center"/>
        </w:trPr>
        <w:tc>
          <w:tcPr>
            <w:tcW w:w="199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181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</w:t>
            </w:r>
            <w:r w:rsidRPr="00103F26">
              <w:rPr>
                <w:rFonts w:ascii="Calibri" w:hAnsi="Calibri"/>
                <w:sz w:val="20"/>
                <w:vertAlign w:val="subscript"/>
              </w:rPr>
              <w:t>R</w:t>
            </w:r>
          </w:p>
        </w:tc>
        <w:tc>
          <w:tcPr>
            <w:tcW w:w="74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4.72</w:t>
            </w:r>
          </w:p>
        </w:tc>
        <w:tc>
          <w:tcPr>
            <w:tcW w:w="6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4.50</w:t>
            </w:r>
          </w:p>
        </w:tc>
        <w:tc>
          <w:tcPr>
            <w:tcW w:w="72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4.99</w:t>
            </w:r>
          </w:p>
        </w:tc>
        <w:tc>
          <w:tcPr>
            <w:tcW w:w="58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Pr="00C55F02" w:rsidRDefault="00373E40" w:rsidP="00373E40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7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80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85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373E40" w:rsidRDefault="00373E40" w:rsidP="00373E4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0.98</w:t>
            </w:r>
          </w:p>
        </w:tc>
      </w:tr>
    </w:tbl>
    <w:p w:rsidR="00ED16D6" w:rsidRPr="00EB7F60" w:rsidRDefault="00ED16D6" w:rsidP="00ED16D6">
      <w:pPr>
        <w:pStyle w:val="FirstParagraph"/>
      </w:pPr>
      <w:r w:rsidRPr="00EB7F60">
        <w:rPr>
          <w:rFonts w:ascii="Calibri" w:hAnsi="Calibri" w:cs="Calibri"/>
          <w:color w:val="000000"/>
        </w:rPr>
        <w:t xml:space="preserve">Table </w:t>
      </w:r>
      <w:r w:rsidR="0094737F">
        <w:rPr>
          <w:rFonts w:ascii="Calibri" w:hAnsi="Calibri" w:cs="Calibri"/>
          <w:color w:val="000000"/>
        </w:rPr>
        <w:t>S4</w:t>
      </w:r>
      <w:r>
        <w:rPr>
          <w:rFonts w:ascii="Calibri" w:hAnsi="Calibri" w:cs="Calibri"/>
          <w:color w:val="000000"/>
        </w:rPr>
        <w:t xml:space="preserve">. </w:t>
      </w:r>
      <w:r w:rsidR="006E4AA0"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</w:rPr>
        <w:t xml:space="preserve">ariance </w:t>
      </w:r>
      <w:r w:rsidR="006E4AA0">
        <w:rPr>
          <w:rFonts w:ascii="Calibri" w:hAnsi="Calibri" w:cs="Calibri"/>
          <w:color w:val="000000"/>
        </w:rPr>
        <w:t xml:space="preserve">and </w:t>
      </w:r>
      <w:r w:rsidR="0094737F">
        <w:rPr>
          <w:rFonts w:ascii="Calibri" w:hAnsi="Calibri" w:cs="Calibri"/>
          <w:color w:val="000000"/>
        </w:rPr>
        <w:t>proportion of variance explained (R</w:t>
      </w:r>
      <w:r w:rsidR="0094737F" w:rsidRPr="0094737F">
        <w:rPr>
          <w:rFonts w:ascii="Calibri" w:hAnsi="Calibri" w:cs="Calibri"/>
          <w:color w:val="000000"/>
          <w:vertAlign w:val="superscript"/>
        </w:rPr>
        <w:t>2</w:t>
      </w:r>
      <w:r w:rsidR="0094737F">
        <w:rPr>
          <w:rFonts w:ascii="Calibri" w:hAnsi="Calibri" w:cs="Calibri"/>
          <w:color w:val="000000"/>
        </w:rPr>
        <w:t xml:space="preserve">) by random effects and fixed effect predictors of </w:t>
      </w:r>
      <w:r>
        <w:rPr>
          <w:rFonts w:ascii="Calibri" w:hAnsi="Calibri" w:cs="Calibri"/>
          <w:color w:val="000000"/>
        </w:rPr>
        <w:t>manta foraging strategies</w:t>
      </w:r>
      <w:r w:rsidR="0094737F">
        <w:rPr>
          <w:rFonts w:ascii="Calibri" w:hAnsi="Calibri" w:cs="Calibri"/>
          <w:color w:val="000000"/>
        </w:rPr>
        <w:t xml:space="preserve"> extracted from GLMMs</w:t>
      </w:r>
      <w:r w:rsidRPr="00EB7F60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 w:rsidR="00103F26">
        <w:rPr>
          <w:rFonts w:ascii="Calibri" w:hAnsi="Calibri" w:cs="Calibri"/>
          <w:color w:val="000000"/>
        </w:rPr>
        <w:t xml:space="preserve">Variance distributions </w:t>
      </w:r>
      <w:r w:rsidR="00103F26" w:rsidRPr="00103F26">
        <w:rPr>
          <w:rFonts w:ascii="Calibri" w:hAnsi="Calibri" w:cs="Calibri"/>
          <w:color w:val="000000"/>
        </w:rPr>
        <w:t>were calculated using 1000 bootstraps</w:t>
      </w:r>
      <w:r w:rsidR="00103F26">
        <w:rPr>
          <w:rFonts w:ascii="Calibri" w:hAnsi="Calibri" w:cs="Calibri"/>
          <w:color w:val="000000"/>
        </w:rPr>
        <w:t xml:space="preserve"> on the link scale (group foraging and group leadership: Binomial error with logit link, group size, Poisson error with log link). V</w:t>
      </w:r>
      <w:r w:rsidR="00103F26" w:rsidRPr="00103F26">
        <w:rPr>
          <w:rFonts w:ascii="Calibri" w:hAnsi="Calibri" w:cs="Calibri"/>
          <w:color w:val="000000"/>
          <w:vertAlign w:val="subscript"/>
        </w:rPr>
        <w:t>i</w:t>
      </w:r>
      <w:r w:rsidR="00103F26">
        <w:rPr>
          <w:rFonts w:ascii="Calibri" w:hAnsi="Calibri" w:cs="Calibri"/>
          <w:color w:val="000000"/>
        </w:rPr>
        <w:t xml:space="preserve">: among-individual variance, </w:t>
      </w:r>
      <w:proofErr w:type="spellStart"/>
      <w:r w:rsidR="00103F26">
        <w:rPr>
          <w:rFonts w:ascii="Calibri" w:hAnsi="Calibri" w:cs="Calibri"/>
          <w:color w:val="000000"/>
        </w:rPr>
        <w:t>V</w:t>
      </w:r>
      <w:r w:rsidR="00103F26" w:rsidRPr="00103F26">
        <w:rPr>
          <w:rFonts w:ascii="Calibri" w:hAnsi="Calibri" w:cs="Calibri"/>
          <w:color w:val="000000"/>
          <w:vertAlign w:val="subscript"/>
        </w:rPr>
        <w:t>site</w:t>
      </w:r>
      <w:proofErr w:type="spellEnd"/>
      <w:r w:rsidR="00103F26">
        <w:rPr>
          <w:rFonts w:ascii="Calibri" w:hAnsi="Calibri" w:cs="Calibri"/>
          <w:color w:val="000000"/>
        </w:rPr>
        <w:t xml:space="preserve">: among-site variance, </w:t>
      </w:r>
      <w:proofErr w:type="spellStart"/>
      <w:r w:rsidR="00103F26">
        <w:rPr>
          <w:rFonts w:ascii="Calibri" w:hAnsi="Calibri" w:cs="Calibri"/>
          <w:color w:val="000000"/>
        </w:rPr>
        <w:t>V</w:t>
      </w:r>
      <w:r w:rsidR="00103F26" w:rsidRPr="00103F26">
        <w:rPr>
          <w:rFonts w:ascii="Calibri" w:hAnsi="Calibri" w:cs="Calibri"/>
          <w:color w:val="000000"/>
          <w:vertAlign w:val="subscript"/>
        </w:rPr>
        <w:t>fe</w:t>
      </w:r>
      <w:proofErr w:type="spellEnd"/>
      <w:r w:rsidR="00103F26">
        <w:rPr>
          <w:rFonts w:ascii="Calibri" w:hAnsi="Calibri" w:cs="Calibri"/>
          <w:color w:val="000000"/>
        </w:rPr>
        <w:t>: variance explained by fixed effects, V</w:t>
      </w:r>
      <w:r w:rsidR="00103F26" w:rsidRPr="00103F26">
        <w:rPr>
          <w:rFonts w:ascii="Calibri" w:hAnsi="Calibri" w:cs="Calibri"/>
          <w:color w:val="000000"/>
          <w:vertAlign w:val="subscript"/>
        </w:rPr>
        <w:t>R</w:t>
      </w:r>
      <w:r w:rsidR="00103F26">
        <w:rPr>
          <w:rFonts w:ascii="Calibri" w:hAnsi="Calibri" w:cs="Calibri"/>
          <w:color w:val="000000"/>
        </w:rPr>
        <w:t>: residual variance.</w:t>
      </w:r>
    </w:p>
    <w:p w:rsidR="008C73A1" w:rsidRDefault="008C73A1">
      <w:pPr>
        <w:pStyle w:val="FirstParagraph"/>
      </w:pPr>
    </w:p>
    <w:sectPr w:rsidR="008C73A1" w:rsidSect="00A949FF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9FF" w:rsidRDefault="00A949FF">
      <w:pPr>
        <w:spacing w:after="0"/>
      </w:pPr>
      <w:r>
        <w:separator/>
      </w:r>
    </w:p>
  </w:endnote>
  <w:endnote w:type="continuationSeparator" w:id="0">
    <w:p w:rsidR="00A949FF" w:rsidRDefault="00A949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9FF" w:rsidRDefault="00A949FF">
      <w:r>
        <w:separator/>
      </w:r>
    </w:p>
  </w:footnote>
  <w:footnote w:type="continuationSeparator" w:id="0">
    <w:p w:rsidR="00A949FF" w:rsidRDefault="00A9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9646C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3A1"/>
    <w:rsid w:val="00103F26"/>
    <w:rsid w:val="00373E40"/>
    <w:rsid w:val="0052127C"/>
    <w:rsid w:val="006E4AA0"/>
    <w:rsid w:val="008C73A1"/>
    <w:rsid w:val="00937959"/>
    <w:rsid w:val="0094737F"/>
    <w:rsid w:val="009E1F70"/>
    <w:rsid w:val="00A949FF"/>
    <w:rsid w:val="00E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DE990FB-FD99-DD4C-A292-03A4E59E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Raphaël Royauté</cp:lastModifiedBy>
  <cp:revision>7</cp:revision>
  <dcterms:created xsi:type="dcterms:W3CDTF">2024-03-04T09:26:00Z</dcterms:created>
  <dcterms:modified xsi:type="dcterms:W3CDTF">2024-03-04T13:56:00Z</dcterms:modified>
</cp:coreProperties>
</file>