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3"/>
        <w:gridCol w:w="2005"/>
        <w:gridCol w:w="1100"/>
        <w:gridCol w:w="743"/>
        <w:gridCol w:w="671"/>
        <w:gridCol w:w="727"/>
        <w:gridCol w:w="126"/>
        <w:gridCol w:w="512"/>
        <w:gridCol w:w="743"/>
        <w:gridCol w:w="671"/>
        <w:gridCol w:w="727"/>
        <w:gridCol w:w="478"/>
      </w:tblGrid>
      <w:tr w:rsidR="00C55F02" w:rsidRPr="00C55F02" w:rsidTr="00C55F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Variance component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 xml:space="preserve">Variance </w:t>
            </w:r>
            <w:r w:rsidRPr="00C55F02">
              <w:rPr>
                <w:rFonts w:ascii="Calibri" w:hAnsi="Calibri" w:cs="Calibri"/>
                <w:sz w:val="20"/>
                <w:szCs w:val="20"/>
              </w:rPr>
              <w:t>difference</w:t>
            </w:r>
          </w:p>
        </w:tc>
      </w:tr>
      <w:tr w:rsidR="00C55F0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pd</w:t>
            </w:r>
          </w:p>
        </w:tc>
      </w:tr>
      <w:tr w:rsidR="00C55F0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55F02">
              <w:rPr>
                <w:rFonts w:ascii="Calibri" w:hAnsi="Calibri" w:cs="Calibri"/>
                <w:b/>
                <w:bCs/>
                <w:sz w:val="20"/>
                <w:szCs w:val="20"/>
              </w:rPr>
              <w:t>0.99</w:t>
            </w:r>
          </w:p>
        </w:tc>
      </w:tr>
      <w:tr w:rsidR="00C55F0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tabs>
                <w:tab w:val="center" w:pos="84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tabs>
                <w:tab w:val="center" w:pos="84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55F0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</w:t>
            </w: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0.88</w:t>
            </w:r>
          </w:p>
        </w:tc>
      </w:tr>
      <w:tr w:rsidR="00C55F0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55F0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4.56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4.38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4.78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1.45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55F02">
              <w:rPr>
                <w:rFonts w:ascii="Calibri" w:hAnsi="Calibri" w:cs="Calibri"/>
                <w:b/>
                <w:bCs/>
                <w:sz w:val="20"/>
                <w:szCs w:val="20"/>
              </w:rPr>
              <w:t>0.99</w:t>
            </w:r>
          </w:p>
        </w:tc>
      </w:tr>
      <w:tr w:rsidR="00C55F0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5.21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4.69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6.01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55F0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 xml:space="preserve">Variance </w:t>
            </w:r>
            <w:r w:rsidRPr="00C55F02">
              <w:rPr>
                <w:rFonts w:ascii="Calibri" w:hAnsi="Calibri" w:cs="Calibri"/>
                <w:sz w:val="20"/>
                <w:szCs w:val="20"/>
              </w:rPr>
              <w:t>explained (R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C55F02" w:rsidRPr="00C55F02" w:rsidRDefault="00C55F02" w:rsidP="00C55F0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D81F62" w:rsidRDefault="00D81F62" w:rsidP="00D81F62">
            <w:pPr>
              <w:keepNext/>
              <w:spacing w:after="60"/>
              <w:jc w:val="right"/>
              <w:rPr>
                <w:b/>
                <w:bCs/>
              </w:rPr>
            </w:pPr>
            <w:r w:rsidRPr="00D81F62">
              <w:rPr>
                <w:rFonts w:ascii="Calibri" w:hAnsi="Calibri"/>
                <w:b/>
                <w:bCs/>
                <w:sz w:val="20"/>
              </w:rPr>
              <w:t>0.98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0.86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D81F62" w:rsidRDefault="00D81F62" w:rsidP="00D81F62">
            <w:pPr>
              <w:keepNext/>
              <w:spacing w:after="60"/>
              <w:jc w:val="right"/>
              <w:rPr>
                <w:b/>
                <w:bCs/>
              </w:rPr>
            </w:pPr>
            <w:r w:rsidRPr="00D81F62">
              <w:rPr>
                <w:rFonts w:ascii="Calibri" w:hAnsi="Calibri"/>
                <w:b/>
                <w:bCs/>
                <w:sz w:val="20"/>
              </w:rPr>
              <w:t>0.98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</w:t>
            </w:r>
            <w:r>
              <w:rPr>
                <w:rFonts w:ascii="Calibri" w:hAnsi="Calibri" w:cs="Calibri"/>
                <w:sz w:val="20"/>
                <w:szCs w:val="20"/>
              </w:rPr>
              <w:t>aturity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Median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CI_low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CI_high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pd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Juveniles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0.91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tabs>
                <w:tab w:val="center" w:pos="84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Adults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Juveniles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</w:t>
            </w: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0.96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Adults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Juveniles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0.66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Adults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Variance explained (R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Juveniles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0.88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Adults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Juveniles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0.95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Adults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Juveniles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0.88</w:t>
            </w: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Adults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81F62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Injury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Default="00D81F62" w:rsidP="00D81F62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81F62" w:rsidRPr="00C55F02" w:rsidRDefault="00D81F62" w:rsidP="00D81F62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Non-injured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0.93</w:t>
            </w: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tabs>
                <w:tab w:val="center" w:pos="84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Non-injured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</w:t>
            </w:r>
            <w:proofErr w:type="spellStart"/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  <w:proofErr w:type="spellEnd"/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0.76</w:t>
            </w: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Non-injured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∆V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0.90</w:t>
            </w: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Variance explained (R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Non-injured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0.93</w:t>
            </w: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Non-injured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0.78</w:t>
            </w: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Non-injured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C55F02">
              <w:rPr>
                <w:rFonts w:ascii="Calibri" w:hAnsi="Calibri" w:cs="Calibri"/>
                <w:sz w:val="20"/>
                <w:szCs w:val="20"/>
              </w:rPr>
              <w:t>∆R</w:t>
            </w:r>
            <w:r w:rsidRPr="00C55F02">
              <w:rPr>
                <w:rFonts w:ascii="Calibri" w:hAnsi="Calibri" w:cs="Calibri"/>
                <w:sz w:val="20"/>
                <w:szCs w:val="20"/>
                <w:vertAlign w:val="superscript"/>
              </w:rPr>
              <w:t>2</w:t>
            </w:r>
            <w:r w:rsidRPr="00C55F02">
              <w:rPr>
                <w:rFonts w:ascii="Calibri" w:hAnsi="Calibri" w:cs="Calibri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0.93</w:t>
            </w:r>
          </w:p>
        </w:tc>
      </w:tr>
      <w:tr w:rsidR="002562A1" w:rsidRPr="00C55F02" w:rsidTr="00C5359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Injured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Default="002562A1" w:rsidP="002562A1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2562A1" w:rsidRPr="00C55F02" w:rsidRDefault="002562A1" w:rsidP="002562A1">
            <w:pPr>
              <w:keepNext/>
              <w:spacing w:after="60"/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93E5D" w:rsidRDefault="00493E5D" w:rsidP="00493E5D">
      <w:pPr>
        <w:pStyle w:val="FirstParagraph"/>
        <w:rPr>
          <w:rFonts w:ascii="Calibri" w:hAnsi="Calibri" w:cs="Calibri"/>
          <w:color w:val="000000"/>
        </w:rPr>
      </w:pPr>
    </w:p>
    <w:p w:rsidR="00493E5D" w:rsidRPr="00BC4211" w:rsidRDefault="00493E5D" w:rsidP="00BC4211">
      <w:pPr>
        <w:pStyle w:val="FirstParagraph"/>
      </w:pPr>
      <w:r w:rsidRPr="00BC4211">
        <w:rPr>
          <w:rFonts w:ascii="Calibri" w:hAnsi="Calibri" w:cs="Calibri"/>
          <w:color w:val="000000"/>
        </w:rPr>
        <w:t xml:space="preserve">Table </w:t>
      </w:r>
      <w:r w:rsidR="00BC4211" w:rsidRPr="00BC4211">
        <w:rPr>
          <w:rFonts w:ascii="Calibri" w:hAnsi="Calibri" w:cs="Calibri"/>
          <w:color w:val="000000"/>
        </w:rPr>
        <w:t>S5</w:t>
      </w:r>
      <w:r w:rsidRPr="00BC4211">
        <w:rPr>
          <w:rFonts w:ascii="Calibri" w:hAnsi="Calibri" w:cs="Calibri"/>
          <w:color w:val="000000"/>
        </w:rPr>
        <w:t xml:space="preserve">. </w:t>
      </w:r>
      <w:r w:rsidR="00BC4211" w:rsidRPr="00BC4211">
        <w:rPr>
          <w:rFonts w:ascii="Calibri" w:hAnsi="Calibri" w:cs="Calibri"/>
          <w:color w:val="000000"/>
        </w:rPr>
        <w:t>Variance and variance explained (R</w:t>
      </w:r>
      <w:r w:rsidR="00BC4211" w:rsidRPr="00BC4211">
        <w:rPr>
          <w:rFonts w:ascii="Calibri" w:hAnsi="Calibri" w:cs="Calibri"/>
          <w:color w:val="000000"/>
          <w:vertAlign w:val="superscript"/>
        </w:rPr>
        <w:t>2</w:t>
      </w:r>
      <w:r w:rsidR="00BC4211" w:rsidRPr="00BC4211">
        <w:rPr>
          <w:rFonts w:ascii="Calibri" w:hAnsi="Calibri" w:cs="Calibri"/>
          <w:color w:val="000000"/>
        </w:rPr>
        <w:t xml:space="preserve">) compared among sex, maturity and injury status for </w:t>
      </w:r>
      <w:r w:rsidR="00BC4211" w:rsidRPr="00BC4211">
        <w:rPr>
          <w:rFonts w:ascii="Calibri" w:hAnsi="Calibri" w:cs="Calibri"/>
          <w:color w:val="000000"/>
        </w:rPr>
        <w:t xml:space="preserve">random effects and fixed effect predictors of </w:t>
      </w:r>
      <w:r w:rsidR="00BC4211" w:rsidRPr="00BC4211">
        <w:rPr>
          <w:rFonts w:ascii="Calibri" w:hAnsi="Calibri" w:cs="Calibri"/>
          <w:color w:val="000000"/>
        </w:rPr>
        <w:t>the probability of leading a foraging group</w:t>
      </w:r>
      <w:r w:rsidR="00BC4211" w:rsidRPr="00BC4211">
        <w:rPr>
          <w:rFonts w:ascii="Calibri" w:hAnsi="Calibri" w:cs="Calibri"/>
          <w:color w:val="000000"/>
        </w:rPr>
        <w:t>.</w:t>
      </w:r>
      <w:r w:rsidR="00BC4211" w:rsidRPr="00BC4211">
        <w:rPr>
          <w:rFonts w:ascii="Calibri" w:hAnsi="Calibri" w:cs="Calibri"/>
          <w:color w:val="000000"/>
        </w:rPr>
        <w:t xml:space="preserve"> Binomial </w:t>
      </w:r>
      <w:r w:rsidRPr="00BC4211">
        <w:rPr>
          <w:rFonts w:ascii="Calibri" w:hAnsi="Calibri" w:cs="Calibri"/>
          <w:color w:val="000000"/>
        </w:rPr>
        <w:t>GLMM</w:t>
      </w:r>
      <w:r w:rsidR="00BC4211">
        <w:rPr>
          <w:rFonts w:ascii="Calibri" w:hAnsi="Calibri" w:cs="Calibri"/>
          <w:color w:val="000000"/>
        </w:rPr>
        <w:t>s were</w:t>
      </w:r>
      <w:r w:rsidR="00BC4211" w:rsidRPr="00BC4211">
        <w:rPr>
          <w:rFonts w:ascii="Calibri" w:hAnsi="Calibri" w:cs="Calibri"/>
          <w:color w:val="000000"/>
        </w:rPr>
        <w:t xml:space="preserve"> </w:t>
      </w:r>
      <w:r w:rsidR="00BC4211">
        <w:rPr>
          <w:rFonts w:ascii="Calibri" w:hAnsi="Calibri" w:cs="Calibri"/>
          <w:color w:val="000000"/>
        </w:rPr>
        <w:t xml:space="preserve">fitted to each subset of the data using a </w:t>
      </w:r>
      <w:r w:rsidR="00BC4211" w:rsidRPr="00BC4211">
        <w:rPr>
          <w:rFonts w:ascii="Calibri" w:hAnsi="Calibri" w:cs="Calibri"/>
          <w:color w:val="000000"/>
        </w:rPr>
        <w:t>logit link</w:t>
      </w:r>
      <w:r w:rsidR="00BC4211">
        <w:rPr>
          <w:rFonts w:ascii="Calibri" w:hAnsi="Calibri" w:cs="Calibri"/>
          <w:color w:val="000000"/>
        </w:rPr>
        <w:t>.</w:t>
      </w:r>
      <w:r w:rsidRPr="00BC4211">
        <w:rPr>
          <w:rFonts w:ascii="Calibri" w:hAnsi="Calibri" w:cs="Calibri"/>
          <w:color w:val="000000"/>
        </w:rPr>
        <w:t xml:space="preserve"> </w:t>
      </w:r>
      <w:r w:rsidR="00BC4211">
        <w:rPr>
          <w:rFonts w:ascii="Calibri" w:hAnsi="Calibri" w:cs="Calibri"/>
          <w:color w:val="000000"/>
        </w:rPr>
        <w:t>V</w:t>
      </w:r>
      <w:r w:rsidRPr="00BC4211">
        <w:rPr>
          <w:rFonts w:ascii="Calibri" w:hAnsi="Calibri" w:cs="Calibri"/>
          <w:color w:val="000000"/>
        </w:rPr>
        <w:t>ariance distributions were calculated using 1000 bootstraps. V</w:t>
      </w:r>
      <w:r w:rsidRPr="00BC4211">
        <w:rPr>
          <w:rFonts w:ascii="Calibri" w:hAnsi="Calibri" w:cs="Calibri"/>
          <w:color w:val="000000"/>
          <w:vertAlign w:val="subscript"/>
        </w:rPr>
        <w:t>i</w:t>
      </w:r>
      <w:r w:rsidRPr="00BC4211">
        <w:rPr>
          <w:rFonts w:ascii="Calibri" w:hAnsi="Calibri" w:cs="Calibri"/>
          <w:color w:val="000000"/>
        </w:rPr>
        <w:t xml:space="preserve">: among-individual variance, </w:t>
      </w:r>
      <w:proofErr w:type="spellStart"/>
      <w:r w:rsidRPr="00BC4211">
        <w:rPr>
          <w:rFonts w:ascii="Calibri" w:hAnsi="Calibri" w:cs="Calibri"/>
          <w:color w:val="000000"/>
        </w:rPr>
        <w:t>V</w:t>
      </w:r>
      <w:r w:rsidRPr="00BC4211">
        <w:rPr>
          <w:rFonts w:ascii="Calibri" w:hAnsi="Calibri" w:cs="Calibri"/>
          <w:color w:val="000000"/>
          <w:vertAlign w:val="subscript"/>
        </w:rPr>
        <w:t>fe</w:t>
      </w:r>
      <w:proofErr w:type="spellEnd"/>
      <w:r w:rsidRPr="00BC4211">
        <w:rPr>
          <w:rFonts w:ascii="Calibri" w:hAnsi="Calibri" w:cs="Calibri"/>
          <w:color w:val="000000"/>
        </w:rPr>
        <w:t>: variance explained by fixed effects, V</w:t>
      </w:r>
      <w:r w:rsidRPr="00BC4211">
        <w:rPr>
          <w:rFonts w:ascii="Calibri" w:hAnsi="Calibri" w:cs="Calibri"/>
          <w:color w:val="000000"/>
          <w:vertAlign w:val="subscript"/>
        </w:rPr>
        <w:t>R</w:t>
      </w:r>
      <w:r w:rsidRPr="00BC4211">
        <w:rPr>
          <w:rFonts w:ascii="Calibri" w:hAnsi="Calibri" w:cs="Calibri"/>
          <w:color w:val="000000"/>
        </w:rPr>
        <w:t>: residual variance.</w:t>
      </w:r>
      <w:r w:rsidR="00BC4211" w:rsidRPr="00BC4211">
        <w:rPr>
          <w:rFonts w:ascii="Calibri" w:hAnsi="Calibri" w:cs="Calibri"/>
          <w:color w:val="000000"/>
        </w:rPr>
        <w:t xml:space="preserve"> The differences in variance (</w:t>
      </w:r>
      <w:r w:rsidR="00BC4211" w:rsidRPr="00BC4211">
        <w:rPr>
          <w:rFonts w:ascii="Calibri" w:hAnsi="Calibri" w:cs="Calibri"/>
        </w:rPr>
        <w:t>∆V</w:t>
      </w:r>
      <w:r w:rsidR="00BC4211" w:rsidRPr="00BC4211">
        <w:rPr>
          <w:rFonts w:ascii="Calibri" w:hAnsi="Calibri" w:cs="Calibri"/>
          <w:color w:val="000000"/>
        </w:rPr>
        <w:t>) or in variance explained (</w:t>
      </w:r>
      <w:r w:rsidR="00BC4211" w:rsidRPr="00BC4211">
        <w:rPr>
          <w:rFonts w:ascii="Calibri" w:hAnsi="Calibri" w:cs="Calibri"/>
        </w:rPr>
        <w:t>∆R</w:t>
      </w:r>
      <w:r w:rsidR="00BC4211" w:rsidRPr="00BC4211">
        <w:rPr>
          <w:rFonts w:ascii="Calibri" w:hAnsi="Calibri" w:cs="Calibri"/>
          <w:vertAlign w:val="superscript"/>
        </w:rPr>
        <w:t>2</w:t>
      </w:r>
      <w:r w:rsidR="00BC4211" w:rsidRPr="00BC4211">
        <w:rPr>
          <w:rFonts w:ascii="Calibri" w:hAnsi="Calibri" w:cs="Calibri"/>
        </w:rPr>
        <w:t>) were c</w:t>
      </w:r>
      <w:r w:rsidR="00BC4211">
        <w:rPr>
          <w:rFonts w:ascii="Calibri" w:hAnsi="Calibri" w:cs="Calibri"/>
        </w:rPr>
        <w:t xml:space="preserve">alculated by subtracting the bootstrapped values from each distribution (Sex: </w:t>
      </w:r>
      <w:r w:rsidR="00BC4211" w:rsidRPr="00BC4211">
        <w:rPr>
          <w:rFonts w:ascii="Calibri" w:hAnsi="Calibri" w:cs="Calibri"/>
        </w:rPr>
        <w:t>∆V</w:t>
      </w:r>
      <w:r w:rsidR="00BC4211">
        <w:rPr>
          <w:rFonts w:ascii="Calibri" w:hAnsi="Calibri" w:cs="Calibri"/>
        </w:rPr>
        <w:t xml:space="preserve"> = </w:t>
      </w:r>
      <w:proofErr w:type="spellStart"/>
      <w:r w:rsidR="00BC4211">
        <w:rPr>
          <w:rFonts w:ascii="Calibri" w:hAnsi="Calibri" w:cs="Calibri"/>
        </w:rPr>
        <w:t>V</w:t>
      </w:r>
      <w:r w:rsidR="00BC4211" w:rsidRPr="00BC4211">
        <w:rPr>
          <w:rFonts w:ascii="Calibri" w:hAnsi="Calibri" w:cs="Calibri"/>
          <w:vertAlign w:val="subscript"/>
        </w:rPr>
        <w:t>males</w:t>
      </w:r>
      <w:proofErr w:type="spellEnd"/>
      <w:r w:rsidR="00BC4211" w:rsidRPr="00BC4211">
        <w:rPr>
          <w:rFonts w:ascii="Calibri" w:hAnsi="Calibri" w:cs="Calibri"/>
        </w:rPr>
        <w:t xml:space="preserve"> -</w:t>
      </w:r>
      <w:proofErr w:type="spellStart"/>
      <w:r w:rsidR="00BC4211">
        <w:rPr>
          <w:rFonts w:ascii="Calibri" w:hAnsi="Calibri" w:cs="Calibri"/>
        </w:rPr>
        <w:t>V</w:t>
      </w:r>
      <w:r w:rsidR="00BC4211" w:rsidRPr="00BC4211">
        <w:rPr>
          <w:rFonts w:ascii="Calibri" w:hAnsi="Calibri" w:cs="Calibri"/>
          <w:vertAlign w:val="subscript"/>
        </w:rPr>
        <w:t>females</w:t>
      </w:r>
      <w:proofErr w:type="spellEnd"/>
      <w:r w:rsidR="00BC4211">
        <w:rPr>
          <w:rFonts w:ascii="Calibri" w:hAnsi="Calibri" w:cs="Calibri"/>
        </w:rPr>
        <w:t>;</w:t>
      </w:r>
      <w:r w:rsidR="00BC4211" w:rsidRPr="00BC4211">
        <w:rPr>
          <w:rFonts w:ascii="Calibri" w:hAnsi="Calibri" w:cs="Calibri"/>
        </w:rPr>
        <w:t xml:space="preserve"> </w:t>
      </w:r>
      <w:r w:rsidR="00BC4211">
        <w:rPr>
          <w:rFonts w:ascii="Calibri" w:hAnsi="Calibri" w:cs="Calibri"/>
        </w:rPr>
        <w:t xml:space="preserve">Maturity: </w:t>
      </w:r>
      <w:r w:rsidR="00BC4211" w:rsidRPr="00BC4211">
        <w:rPr>
          <w:rFonts w:ascii="Calibri" w:hAnsi="Calibri" w:cs="Calibri"/>
        </w:rPr>
        <w:t>∆V</w:t>
      </w:r>
      <w:r w:rsidR="00BC4211">
        <w:rPr>
          <w:rFonts w:ascii="Calibri" w:hAnsi="Calibri" w:cs="Calibri"/>
        </w:rPr>
        <w:t xml:space="preserve"> = </w:t>
      </w:r>
      <w:proofErr w:type="spellStart"/>
      <w:r w:rsidR="00BC4211">
        <w:rPr>
          <w:rFonts w:ascii="Calibri" w:hAnsi="Calibri" w:cs="Calibri"/>
        </w:rPr>
        <w:t>V</w:t>
      </w:r>
      <w:r w:rsidR="00BC4211">
        <w:rPr>
          <w:rFonts w:ascii="Calibri" w:hAnsi="Calibri" w:cs="Calibri"/>
          <w:vertAlign w:val="subscript"/>
        </w:rPr>
        <w:t>adult</w:t>
      </w:r>
      <w:proofErr w:type="spellEnd"/>
      <w:r w:rsidR="00BC4211" w:rsidRPr="00BC4211">
        <w:rPr>
          <w:rFonts w:ascii="Calibri" w:hAnsi="Calibri" w:cs="Calibri"/>
        </w:rPr>
        <w:t xml:space="preserve"> </w:t>
      </w:r>
      <w:r w:rsidR="00BC4211">
        <w:rPr>
          <w:rFonts w:ascii="Calibri" w:hAnsi="Calibri" w:cs="Calibri"/>
        </w:rPr>
        <w:t xml:space="preserve">– </w:t>
      </w:r>
      <w:proofErr w:type="spellStart"/>
      <w:r w:rsidR="00BC4211">
        <w:rPr>
          <w:rFonts w:ascii="Calibri" w:hAnsi="Calibri" w:cs="Calibri"/>
        </w:rPr>
        <w:t>V</w:t>
      </w:r>
      <w:r w:rsidR="00BC4211">
        <w:rPr>
          <w:rFonts w:ascii="Calibri" w:hAnsi="Calibri" w:cs="Calibri"/>
          <w:vertAlign w:val="subscript"/>
        </w:rPr>
        <w:t>juveniles</w:t>
      </w:r>
      <w:proofErr w:type="spellEnd"/>
      <w:r w:rsidR="00BC4211" w:rsidRPr="00BC4211">
        <w:rPr>
          <w:rFonts w:ascii="Calibri" w:hAnsi="Calibri" w:cs="Calibri"/>
        </w:rPr>
        <w:t xml:space="preserve">; Injury: </w:t>
      </w:r>
      <w:r w:rsidR="00BC4211" w:rsidRPr="00BC4211">
        <w:rPr>
          <w:rFonts w:ascii="Calibri" w:hAnsi="Calibri" w:cs="Calibri"/>
        </w:rPr>
        <w:t>∆V</w:t>
      </w:r>
      <w:r w:rsidR="00BC4211">
        <w:rPr>
          <w:rFonts w:ascii="Calibri" w:hAnsi="Calibri" w:cs="Calibri"/>
        </w:rPr>
        <w:t xml:space="preserve"> = </w:t>
      </w:r>
      <w:proofErr w:type="spellStart"/>
      <w:r w:rsidR="00BC4211">
        <w:rPr>
          <w:rFonts w:ascii="Calibri" w:hAnsi="Calibri" w:cs="Calibri"/>
        </w:rPr>
        <w:t>V</w:t>
      </w:r>
      <w:r w:rsidR="00BC4211">
        <w:rPr>
          <w:rFonts w:ascii="Calibri" w:hAnsi="Calibri" w:cs="Calibri"/>
          <w:vertAlign w:val="subscript"/>
        </w:rPr>
        <w:t>injured</w:t>
      </w:r>
      <w:proofErr w:type="spellEnd"/>
      <w:r w:rsidR="00BC4211" w:rsidRPr="00BC4211">
        <w:rPr>
          <w:rFonts w:ascii="Calibri" w:hAnsi="Calibri" w:cs="Calibri"/>
        </w:rPr>
        <w:t xml:space="preserve"> </w:t>
      </w:r>
      <w:r w:rsidR="00BC4211" w:rsidRPr="00BC4211">
        <w:rPr>
          <w:rFonts w:ascii="Calibri" w:hAnsi="Calibri" w:cs="Calibri"/>
        </w:rPr>
        <w:t>-</w:t>
      </w:r>
      <w:proofErr w:type="spellStart"/>
      <w:r w:rsidR="00BC4211">
        <w:rPr>
          <w:rFonts w:ascii="Calibri" w:hAnsi="Calibri" w:cs="Calibri"/>
        </w:rPr>
        <w:t>V</w:t>
      </w:r>
      <w:r w:rsidR="00BC4211">
        <w:rPr>
          <w:rFonts w:ascii="Calibri" w:hAnsi="Calibri" w:cs="Calibri"/>
          <w:vertAlign w:val="subscript"/>
        </w:rPr>
        <w:t>non</w:t>
      </w:r>
      <w:proofErr w:type="spellEnd"/>
      <w:r w:rsidR="00BC4211">
        <w:rPr>
          <w:rFonts w:ascii="Calibri" w:hAnsi="Calibri" w:cs="Calibri"/>
          <w:vertAlign w:val="subscript"/>
        </w:rPr>
        <w:t>-injured</w:t>
      </w:r>
      <w:r w:rsidR="00BC4211" w:rsidRPr="00BC4211">
        <w:rPr>
          <w:rFonts w:ascii="Calibri" w:hAnsi="Calibri" w:cs="Calibri"/>
        </w:rPr>
        <w:t>)</w:t>
      </w:r>
      <w:r w:rsidR="00BC4211">
        <w:rPr>
          <w:rFonts w:ascii="Calibri" w:hAnsi="Calibri" w:cs="Calibri"/>
        </w:rPr>
        <w:t>. The probability of direction (pd) indic</w:t>
      </w:r>
      <w:r w:rsidR="00101AF9">
        <w:rPr>
          <w:rFonts w:ascii="Calibri" w:hAnsi="Calibri" w:cs="Calibri"/>
        </w:rPr>
        <w:t>ates the probability that variance components differ, values &gt; 0.975 are equivalent to a statistically significant difference for a two-tailed test at</w:t>
      </w:r>
      <w:r w:rsidR="00101AF9" w:rsidRPr="00101AF9">
        <w:rPr>
          <w:rFonts w:asciiTheme="majorHAnsi" w:hAnsiTheme="majorHAnsi" w:cstheme="majorHAnsi"/>
        </w:rPr>
        <w:t xml:space="preserve"> </w:t>
      </w:r>
      <w:r w:rsidR="00101AF9" w:rsidRPr="00101AF9">
        <w:rPr>
          <w:rFonts w:ascii="Cambria Math" w:hAnsi="Cambria Math" w:cs="Cambria Math"/>
          <w:color w:val="000000"/>
        </w:rPr>
        <w:t>𝛼</w:t>
      </w:r>
      <w:r w:rsidR="00101AF9" w:rsidRPr="00101AF9">
        <w:rPr>
          <w:rFonts w:asciiTheme="majorHAnsi" w:hAnsiTheme="majorHAnsi" w:cstheme="majorHAnsi"/>
          <w:color w:val="000000"/>
        </w:rPr>
        <w:t xml:space="preserve"> = 0.05.</w:t>
      </w:r>
    </w:p>
    <w:p w:rsidR="00432D52" w:rsidRDefault="00432D52">
      <w:pPr>
        <w:pStyle w:val="FirstParagraph"/>
      </w:pPr>
    </w:p>
    <w:sectPr w:rsidR="00432D52" w:rsidSect="00454F0A">
      <w:pgSz w:w="15840" w:h="12240" w:orient="landscape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F0A" w:rsidRDefault="00454F0A">
      <w:pPr>
        <w:spacing w:after="0"/>
      </w:pPr>
      <w:r>
        <w:separator/>
      </w:r>
    </w:p>
  </w:endnote>
  <w:endnote w:type="continuationSeparator" w:id="0">
    <w:p w:rsidR="00454F0A" w:rsidRDefault="00454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F0A" w:rsidRDefault="00454F0A">
      <w:r>
        <w:separator/>
      </w:r>
    </w:p>
  </w:footnote>
  <w:footnote w:type="continuationSeparator" w:id="0">
    <w:p w:rsidR="00454F0A" w:rsidRDefault="00454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9CA0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235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52"/>
    <w:rsid w:val="00101AF9"/>
    <w:rsid w:val="002562A1"/>
    <w:rsid w:val="00432D52"/>
    <w:rsid w:val="00454F0A"/>
    <w:rsid w:val="00493E5D"/>
    <w:rsid w:val="006F1EA5"/>
    <w:rsid w:val="007C45CA"/>
    <w:rsid w:val="008239D2"/>
    <w:rsid w:val="00A05AD8"/>
    <w:rsid w:val="00BC4211"/>
    <w:rsid w:val="00C55F02"/>
    <w:rsid w:val="00D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E1CF6"/>
  <w15:docId w15:val="{0DE990FB-FD99-DD4C-A292-03A4E59E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Raphaël Royauté</dc:creator>
  <cp:keywords/>
  <cp:lastModifiedBy>Raphaël Royauté</cp:lastModifiedBy>
  <cp:revision>7</cp:revision>
  <dcterms:created xsi:type="dcterms:W3CDTF">2024-03-04T11:36:00Z</dcterms:created>
  <dcterms:modified xsi:type="dcterms:W3CDTF">2024-03-04T13:44:00Z</dcterms:modified>
</cp:coreProperties>
</file>