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uia-de-capacitacion-por-roles"/>
    <w:p>
      <w:pPr>
        <w:pStyle w:val="Heading1"/>
      </w:pPr>
      <w:r>
        <w:t xml:space="preserve">Guia de capacitacion por roles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Proveer un plan de entrenamiento corto, medible y repetible para cada nivel de acceso de ITCity.</w:t>
      </w:r>
    </w:p>
    <w:bookmarkEnd w:id="20"/>
    <w:bookmarkStart w:id="21" w:name="duracion-sugerida"/>
    <w:p>
      <w:pPr>
        <w:pStyle w:val="Heading2"/>
      </w:pPr>
      <w:r>
        <w:t xml:space="preserve">Duracion sugerida</w:t>
      </w:r>
    </w:p>
    <w:p>
      <w:pPr>
        <w:pStyle w:val="Compact"/>
        <w:numPr>
          <w:ilvl w:val="0"/>
          <w:numId w:val="1001"/>
        </w:numPr>
      </w:pPr>
      <w:r>
        <w:t xml:space="preserve">Bloque 1: 30 min (conceptos y navegacion)</w:t>
      </w:r>
    </w:p>
    <w:p>
      <w:pPr>
        <w:pStyle w:val="Compact"/>
        <w:numPr>
          <w:ilvl w:val="0"/>
          <w:numId w:val="1001"/>
        </w:numPr>
      </w:pPr>
      <w:r>
        <w:t xml:space="preserve">Bloque 2: 45 min (practica guiada)</w:t>
      </w:r>
    </w:p>
    <w:p>
      <w:pPr>
        <w:pStyle w:val="Compact"/>
        <w:numPr>
          <w:ilvl w:val="0"/>
          <w:numId w:val="1001"/>
        </w:numPr>
      </w:pPr>
      <w:r>
        <w:t xml:space="preserve">Bloque 3: 15 min (evaluacion)</w:t>
      </w:r>
    </w:p>
    <w:bookmarkEnd w:id="21"/>
    <w:bookmarkStart w:id="22" w:name="bloque-1-conceptos-comunes"/>
    <w:p>
      <w:pPr>
        <w:pStyle w:val="Heading2"/>
      </w:pPr>
      <w:r>
        <w:t xml:space="preserve">Bloque 1: Conceptos comunes</w:t>
      </w:r>
    </w:p>
    <w:p>
      <w:pPr>
        <w:pStyle w:val="Compact"/>
        <w:numPr>
          <w:ilvl w:val="0"/>
          <w:numId w:val="1002"/>
        </w:numPr>
      </w:pPr>
      <w:r>
        <w:t xml:space="preserve">Estructura de campus, nodos y relaciones.</w:t>
      </w:r>
    </w:p>
    <w:p>
      <w:pPr>
        <w:pStyle w:val="Compact"/>
        <w:numPr>
          <w:ilvl w:val="0"/>
          <w:numId w:val="1002"/>
        </w:numPr>
      </w:pPr>
      <w:r>
        <w:t xml:space="preserve">Diferencia entre topologia, monitoreo e inventario.</w:t>
      </w:r>
    </w:p>
    <w:p>
      <w:pPr>
        <w:pStyle w:val="Compact"/>
        <w:numPr>
          <w:ilvl w:val="0"/>
          <w:numId w:val="1002"/>
        </w:numPr>
      </w:pPr>
      <w:r>
        <w:t xml:space="preserve">Importancia de alcance por campus y trazabilidad.</w:t>
      </w:r>
    </w:p>
    <w:bookmarkEnd w:id="22"/>
    <w:bookmarkStart w:id="26" w:name="bloque-2-practicas-por-rol"/>
    <w:p>
      <w:pPr>
        <w:pStyle w:val="Heading2"/>
      </w:pPr>
      <w:r>
        <w:t xml:space="preserve">Bloque 2: Practicas por rol</w:t>
      </w:r>
    </w:p>
    <w:bookmarkStart w:id="23" w:name="a-administrador-completo"/>
    <w:p>
      <w:pPr>
        <w:pStyle w:val="Heading3"/>
      </w:pPr>
      <w:r>
        <w:t xml:space="preserve">A) Administrador completo</w:t>
      </w:r>
    </w:p>
    <w:p>
      <w:pPr>
        <w:pStyle w:val="FirstParagraph"/>
      </w:pPr>
      <w:r>
        <w:t xml:space="preserve">Ejercicio A1: crear usuario con perfil y alcance.</w:t>
      </w:r>
    </w:p>
    <w:p>
      <w:pPr>
        <w:pStyle w:val="Compact"/>
        <w:numPr>
          <w:ilvl w:val="0"/>
          <w:numId w:val="1003"/>
        </w:numPr>
      </w:pPr>
      <w:r>
        <w:t xml:space="preserve">Crear un usuario de prueba.</w:t>
      </w:r>
    </w:p>
    <w:p>
      <w:pPr>
        <w:pStyle w:val="Compact"/>
        <w:numPr>
          <w:ilvl w:val="0"/>
          <w:numId w:val="1003"/>
        </w:numPr>
      </w:pPr>
      <w:r>
        <w:t xml:space="preserve">Asignar perfil operativo.</w:t>
      </w:r>
    </w:p>
    <w:p>
      <w:pPr>
        <w:pStyle w:val="Compact"/>
        <w:numPr>
          <w:ilvl w:val="0"/>
          <w:numId w:val="1003"/>
        </w:numPr>
      </w:pPr>
      <w:r>
        <w:t xml:space="preserve">Limitar a un campus.</w:t>
      </w:r>
    </w:p>
    <w:p>
      <w:pPr>
        <w:pStyle w:val="Compact"/>
        <w:numPr>
          <w:ilvl w:val="0"/>
          <w:numId w:val="1003"/>
        </w:numPr>
      </w:pPr>
      <w:r>
        <w:t xml:space="preserve">Validar permisos.</w:t>
      </w:r>
    </w:p>
    <w:p>
      <w:pPr>
        <w:pStyle w:val="FirstParagraph"/>
      </w:pPr>
      <w:r>
        <w:t xml:space="preserve">Ejercicio A2: ciclo completo de activo.</w:t>
      </w:r>
    </w:p>
    <w:p>
      <w:pPr>
        <w:pStyle w:val="Compact"/>
        <w:numPr>
          <w:ilvl w:val="0"/>
          <w:numId w:val="1004"/>
        </w:numPr>
      </w:pPr>
      <w:r>
        <w:t xml:space="preserve">Editar activo inventariado.</w:t>
      </w:r>
    </w:p>
    <w:p>
      <w:pPr>
        <w:pStyle w:val="Compact"/>
        <w:numPr>
          <w:ilvl w:val="0"/>
          <w:numId w:val="1004"/>
        </w:numPr>
      </w:pPr>
      <w:r>
        <w:t xml:space="preserve">Reasignar responsable.</w:t>
      </w:r>
    </w:p>
    <w:p>
      <w:pPr>
        <w:pStyle w:val="Compact"/>
        <w:numPr>
          <w:ilvl w:val="0"/>
          <w:numId w:val="1004"/>
        </w:numPr>
      </w:pPr>
      <w:r>
        <w:t xml:space="preserve">Capturar firma de recepcion.</w:t>
      </w:r>
    </w:p>
    <w:p>
      <w:pPr>
        <w:pStyle w:val="Compact"/>
        <w:numPr>
          <w:ilvl w:val="0"/>
          <w:numId w:val="1004"/>
        </w:numPr>
      </w:pPr>
      <w:r>
        <w:t xml:space="preserve">Generar responsiva y validar QR.</w:t>
      </w:r>
    </w:p>
    <w:bookmarkEnd w:id="23"/>
    <w:bookmarkStart w:id="24" w:name="b-administrador-operativo"/>
    <w:p>
      <w:pPr>
        <w:pStyle w:val="Heading3"/>
      </w:pPr>
      <w:r>
        <w:t xml:space="preserve">B) Administrador operativo</w:t>
      </w:r>
    </w:p>
    <w:p>
      <w:pPr>
        <w:pStyle w:val="FirstParagraph"/>
      </w:pPr>
      <w:r>
        <w:t xml:space="preserve">Ejercicio B1: correccion de topologia.</w:t>
      </w:r>
    </w:p>
    <w:p>
      <w:pPr>
        <w:pStyle w:val="Compact"/>
        <w:numPr>
          <w:ilvl w:val="0"/>
          <w:numId w:val="1005"/>
        </w:numPr>
      </w:pPr>
      <w:r>
        <w:t xml:space="preserve">Abrir /red.</w:t>
      </w:r>
    </w:p>
    <w:p>
      <w:pPr>
        <w:pStyle w:val="Compact"/>
        <w:numPr>
          <w:ilvl w:val="0"/>
          <w:numId w:val="1005"/>
        </w:numPr>
      </w:pPr>
      <w:r>
        <w:t xml:space="preserve">Corregir etiqueta o estado de un nodo.</w:t>
      </w:r>
    </w:p>
    <w:p>
      <w:pPr>
        <w:pStyle w:val="Compact"/>
        <w:numPr>
          <w:ilvl w:val="0"/>
          <w:numId w:val="1005"/>
        </w:numPr>
      </w:pPr>
      <w:r>
        <w:t xml:space="preserve">Ajustar relacion entre dos nodos.</w:t>
      </w:r>
    </w:p>
    <w:p>
      <w:pPr>
        <w:pStyle w:val="Compact"/>
        <w:numPr>
          <w:ilvl w:val="0"/>
          <w:numId w:val="1005"/>
        </w:numPr>
      </w:pPr>
      <w:r>
        <w:t xml:space="preserve">Guardar layout.</w:t>
      </w:r>
    </w:p>
    <w:p>
      <w:pPr>
        <w:pStyle w:val="FirstParagraph"/>
      </w:pPr>
      <w:r>
        <w:t xml:space="preserve">Ejercicio B2: atencion de incidencia.</w:t>
      </w:r>
    </w:p>
    <w:p>
      <w:pPr>
        <w:pStyle w:val="Compact"/>
        <w:numPr>
          <w:ilvl w:val="0"/>
          <w:numId w:val="1006"/>
        </w:numPr>
      </w:pPr>
      <w:r>
        <w:t xml:space="preserve">Revisar monitoreo.</w:t>
      </w:r>
    </w:p>
    <w:p>
      <w:pPr>
        <w:pStyle w:val="Compact"/>
        <w:numPr>
          <w:ilvl w:val="0"/>
          <w:numId w:val="1006"/>
        </w:numPr>
      </w:pPr>
      <w:r>
        <w:t xml:space="preserve">Identificar nodo en warning/error.</w:t>
      </w:r>
    </w:p>
    <w:p>
      <w:pPr>
        <w:pStyle w:val="Compact"/>
        <w:numPr>
          <w:ilvl w:val="0"/>
          <w:numId w:val="1006"/>
        </w:numPr>
      </w:pPr>
      <w:r>
        <w:t xml:space="preserve">Registrar accion correctiva.</w:t>
      </w:r>
    </w:p>
    <w:p>
      <w:pPr>
        <w:pStyle w:val="Compact"/>
        <w:numPr>
          <w:ilvl w:val="0"/>
          <w:numId w:val="1006"/>
        </w:numPr>
      </w:pPr>
      <w:r>
        <w:t xml:space="preserve">Confirmar cierre.</w:t>
      </w:r>
    </w:p>
    <w:bookmarkEnd w:id="24"/>
    <w:bookmarkStart w:id="25" w:name="c-auditor-solo-lectura"/>
    <w:p>
      <w:pPr>
        <w:pStyle w:val="Heading3"/>
      </w:pPr>
      <w:r>
        <w:t xml:space="preserve">C) Auditor (solo lectura)</w:t>
      </w:r>
    </w:p>
    <w:p>
      <w:pPr>
        <w:pStyle w:val="FirstParagraph"/>
      </w:pPr>
      <w:r>
        <w:t xml:space="preserve">Ejercicio C1: revision de evidencia.</w:t>
      </w:r>
    </w:p>
    <w:p>
      <w:pPr>
        <w:pStyle w:val="Compact"/>
        <w:numPr>
          <w:ilvl w:val="0"/>
          <w:numId w:val="1007"/>
        </w:numPr>
      </w:pPr>
      <w:r>
        <w:t xml:space="preserve">Consultar un activo en panel.</w:t>
      </w:r>
    </w:p>
    <w:p>
      <w:pPr>
        <w:pStyle w:val="Compact"/>
        <w:numPr>
          <w:ilvl w:val="0"/>
          <w:numId w:val="1007"/>
        </w:numPr>
      </w:pPr>
      <w:r>
        <w:t xml:space="preserve">Abrir bitacora de asignacion.</w:t>
      </w:r>
    </w:p>
    <w:p>
      <w:pPr>
        <w:pStyle w:val="Compact"/>
        <w:numPr>
          <w:ilvl w:val="0"/>
          <w:numId w:val="1007"/>
        </w:numPr>
      </w:pPr>
      <w:r>
        <w:t xml:space="preserve">Verificar campos de entrega/recepcion.</w:t>
      </w:r>
    </w:p>
    <w:p>
      <w:pPr>
        <w:pStyle w:val="Compact"/>
        <w:numPr>
          <w:ilvl w:val="0"/>
          <w:numId w:val="1007"/>
        </w:numPr>
      </w:pPr>
      <w:r>
        <w:t xml:space="preserve">Registrar hallazgo.</w:t>
      </w:r>
    </w:p>
    <w:p>
      <w:pPr>
        <w:pStyle w:val="FirstParagraph"/>
      </w:pPr>
      <w:r>
        <w:t xml:space="preserve">Ejercicio C2: reporte de topologia.</w:t>
      </w:r>
    </w:p>
    <w:p>
      <w:pPr>
        <w:pStyle w:val="Compact"/>
        <w:numPr>
          <w:ilvl w:val="0"/>
          <w:numId w:val="1008"/>
        </w:numPr>
      </w:pPr>
      <w:r>
        <w:t xml:space="preserve">Revisar topologia por campus.</w:t>
      </w:r>
    </w:p>
    <w:p>
      <w:pPr>
        <w:pStyle w:val="Compact"/>
        <w:numPr>
          <w:ilvl w:val="0"/>
          <w:numId w:val="1008"/>
        </w:numPr>
      </w:pPr>
      <w:r>
        <w:t xml:space="preserve">Detectar inconsistencia documentada.</w:t>
      </w:r>
    </w:p>
    <w:p>
      <w:pPr>
        <w:pStyle w:val="Compact"/>
        <w:numPr>
          <w:ilvl w:val="0"/>
          <w:numId w:val="1008"/>
        </w:numPr>
      </w:pPr>
      <w:r>
        <w:t xml:space="preserve">Levantar observacion formal.</w:t>
      </w:r>
    </w:p>
    <w:bookmarkEnd w:id="25"/>
    <w:bookmarkEnd w:id="26"/>
    <w:bookmarkStart w:id="29" w:name="bloque-3-evaluacion-rapida"/>
    <w:p>
      <w:pPr>
        <w:pStyle w:val="Heading2"/>
      </w:pPr>
      <w:r>
        <w:t xml:space="preserve">Bloque 3: Evaluacion rapida</w:t>
      </w:r>
    </w:p>
    <w:bookmarkStart w:id="27" w:name="criterio-de-aprobacion"/>
    <w:p>
      <w:pPr>
        <w:pStyle w:val="Heading3"/>
      </w:pPr>
      <w:r>
        <w:t xml:space="preserve">Criterio de aprobacion</w:t>
      </w:r>
    </w:p>
    <w:p>
      <w:pPr>
        <w:pStyle w:val="Compact"/>
        <w:numPr>
          <w:ilvl w:val="0"/>
          <w:numId w:val="1009"/>
        </w:numPr>
      </w:pPr>
      <w:r>
        <w:t xml:space="preserve">Puntaje minimo: 80/100</w:t>
      </w:r>
    </w:p>
    <w:p>
      <w:pPr>
        <w:pStyle w:val="Compact"/>
        <w:numPr>
          <w:ilvl w:val="0"/>
          <w:numId w:val="1009"/>
        </w:numPr>
      </w:pPr>
      <w:r>
        <w:t xml:space="preserve">Sin errores en reglas criticas de seguridad o alcance</w:t>
      </w:r>
    </w:p>
    <w:bookmarkEnd w:id="27"/>
    <w:bookmarkStart w:id="28" w:name="rubrica"/>
    <w:p>
      <w:pPr>
        <w:pStyle w:val="Heading3"/>
      </w:pPr>
      <w:r>
        <w:t xml:space="preserve">Rubrica</w:t>
      </w:r>
    </w:p>
    <w:p>
      <w:pPr>
        <w:pStyle w:val="Compact"/>
        <w:numPr>
          <w:ilvl w:val="0"/>
          <w:numId w:val="1010"/>
        </w:numPr>
      </w:pPr>
      <w:r>
        <w:t xml:space="preserve">Navegacion correcta del sistema (20 pts)</w:t>
      </w:r>
    </w:p>
    <w:p>
      <w:pPr>
        <w:pStyle w:val="Compact"/>
        <w:numPr>
          <w:ilvl w:val="0"/>
          <w:numId w:val="1010"/>
        </w:numPr>
      </w:pPr>
      <w:r>
        <w:t xml:space="preserve">Ejecucion del flujo del rol sin bloqueos (30 pts)</w:t>
      </w:r>
    </w:p>
    <w:p>
      <w:pPr>
        <w:pStyle w:val="Compact"/>
        <w:numPr>
          <w:ilvl w:val="0"/>
          <w:numId w:val="1010"/>
        </w:numPr>
      </w:pPr>
      <w:r>
        <w:t xml:space="preserve">Comprension de permisos y limites (20 pts)</w:t>
      </w:r>
    </w:p>
    <w:p>
      <w:pPr>
        <w:pStyle w:val="Compact"/>
        <w:numPr>
          <w:ilvl w:val="0"/>
          <w:numId w:val="1010"/>
        </w:numPr>
      </w:pPr>
      <w:r>
        <w:t xml:space="preserve">Calidad de evidencia/registro final (30 pts)</w:t>
      </w:r>
    </w:p>
    <w:bookmarkEnd w:id="28"/>
    <w:bookmarkEnd w:id="29"/>
    <w:bookmarkStart w:id="30" w:name="checklist-del-instructor"/>
    <w:p>
      <w:pPr>
        <w:pStyle w:val="Heading2"/>
      </w:pPr>
      <w:r>
        <w:t xml:space="preserve">Checklist del instructor</w:t>
      </w:r>
    </w:p>
    <w:p>
      <w:pPr>
        <w:pStyle w:val="Compact"/>
        <w:numPr>
          <w:ilvl w:val="0"/>
          <w:numId w:val="1011"/>
        </w:numPr>
      </w:pPr>
      <w:r>
        <w:t xml:space="preserve">El usuario identifica su alcance por campus.</w:t>
      </w:r>
    </w:p>
    <w:p>
      <w:pPr>
        <w:pStyle w:val="Compact"/>
        <w:numPr>
          <w:ilvl w:val="0"/>
          <w:numId w:val="1011"/>
        </w:numPr>
      </w:pPr>
      <w:r>
        <w:t xml:space="preserve">El usuario no intenta acciones fuera de su rol.</w:t>
      </w:r>
    </w:p>
    <w:p>
      <w:pPr>
        <w:pStyle w:val="Compact"/>
        <w:numPr>
          <w:ilvl w:val="0"/>
          <w:numId w:val="1011"/>
        </w:numPr>
      </w:pPr>
      <w:r>
        <w:t xml:space="preserve">El usuario completa al menos un flujo de inicio a fin.</w:t>
      </w:r>
    </w:p>
    <w:p>
      <w:pPr>
        <w:pStyle w:val="Compact"/>
        <w:numPr>
          <w:ilvl w:val="0"/>
          <w:numId w:val="1011"/>
        </w:numPr>
      </w:pPr>
      <w:r>
        <w:t xml:space="preserve">El usuario interpreta estados de monitoreo correctamente.</w:t>
      </w:r>
    </w:p>
    <w:p>
      <w:pPr>
        <w:pStyle w:val="Compact"/>
        <w:numPr>
          <w:ilvl w:val="0"/>
          <w:numId w:val="1011"/>
        </w:numPr>
      </w:pPr>
      <w:r>
        <w:t xml:space="preserve">El usuario documenta resultados de forma clara.</w:t>
      </w:r>
    </w:p>
    <w:bookmarkEnd w:id="30"/>
    <w:bookmarkStart w:id="31" w:name="formato-de-resultado"/>
    <w:p>
      <w:pPr>
        <w:pStyle w:val="Heading2"/>
      </w:pPr>
      <w:r>
        <w:t xml:space="preserve">Formato de resultado</w:t>
      </w:r>
    </w:p>
    <w:p>
      <w:pPr>
        <w:pStyle w:val="Compact"/>
        <w:numPr>
          <w:ilvl w:val="0"/>
          <w:numId w:val="1012"/>
        </w:numPr>
      </w:pPr>
      <w:r>
        <w:t xml:space="preserve">Participante:</w:t>
      </w:r>
    </w:p>
    <w:p>
      <w:pPr>
        <w:pStyle w:val="Compact"/>
        <w:numPr>
          <w:ilvl w:val="0"/>
          <w:numId w:val="1012"/>
        </w:numPr>
      </w:pPr>
      <w:r>
        <w:t xml:space="preserve">Rol evaluado:</w:t>
      </w:r>
    </w:p>
    <w:p>
      <w:pPr>
        <w:pStyle w:val="Compact"/>
        <w:numPr>
          <w:ilvl w:val="0"/>
          <w:numId w:val="1012"/>
        </w:numPr>
      </w:pPr>
      <w:r>
        <w:t xml:space="preserve">Fecha:</w:t>
      </w:r>
    </w:p>
    <w:p>
      <w:pPr>
        <w:pStyle w:val="Compact"/>
        <w:numPr>
          <w:ilvl w:val="0"/>
          <w:numId w:val="1012"/>
        </w:numPr>
      </w:pPr>
      <w:r>
        <w:t xml:space="preserve">Puntaje:</w:t>
      </w:r>
    </w:p>
    <w:p>
      <w:pPr>
        <w:pStyle w:val="Compact"/>
        <w:numPr>
          <w:ilvl w:val="0"/>
          <w:numId w:val="1012"/>
        </w:numPr>
      </w:pPr>
      <w:r>
        <w:t xml:space="preserve">Observaciones:</w:t>
      </w:r>
    </w:p>
    <w:p>
      <w:pPr>
        <w:pStyle w:val="Compact"/>
        <w:numPr>
          <w:ilvl w:val="0"/>
          <w:numId w:val="1012"/>
        </w:numPr>
      </w:pPr>
      <w:r>
        <w:t xml:space="preserve">Plan de refuerzo: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2026-04-16T17:37:21Z</dcterms:created>
  <dcterms:modified xsi:type="dcterms:W3CDTF">2026-04-16T17:37:21Z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