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nual-de-usuario-auditor-solo-lectura"/>
    <w:p>
      <w:pPr>
        <w:pStyle w:val="Heading1"/>
      </w:pPr>
      <w:r>
        <w:t xml:space="preserve">Manual de usuario: Auditor (solo lectura)</w:t>
      </w:r>
    </w:p>
    <w:bookmarkStart w:id="20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Nivel de consulta. Permite visibilidad operacional sin cambios sobre datos criticos.</w:t>
      </w:r>
    </w:p>
    <w:bookmarkEnd w:id="20"/>
    <w:bookmarkStart w:id="21" w:name="que-puede-hacer"/>
    <w:p>
      <w:pPr>
        <w:pStyle w:val="Heading2"/>
      </w:pPr>
      <w:r>
        <w:t xml:space="preserve">Que puede hacer</w:t>
      </w:r>
    </w:p>
    <w:p>
      <w:pPr>
        <w:pStyle w:val="Compact"/>
        <w:numPr>
          <w:ilvl w:val="0"/>
          <w:numId w:val="1001"/>
        </w:numPr>
      </w:pPr>
      <w:r>
        <w:t xml:space="preserve">Ver topologia.</w:t>
      </w:r>
    </w:p>
    <w:p>
      <w:pPr>
        <w:pStyle w:val="Compact"/>
        <w:numPr>
          <w:ilvl w:val="0"/>
          <w:numId w:val="1001"/>
        </w:numPr>
      </w:pPr>
      <w:r>
        <w:t xml:space="preserve">Ver monitoreo.</w:t>
      </w:r>
    </w:p>
    <w:p>
      <w:pPr>
        <w:pStyle w:val="Compact"/>
        <w:numPr>
          <w:ilvl w:val="0"/>
          <w:numId w:val="1001"/>
        </w:numPr>
      </w:pPr>
      <w:r>
        <w:t xml:space="preserve">Ver inventario.</w:t>
      </w:r>
    </w:p>
    <w:p>
      <w:pPr>
        <w:pStyle w:val="Compact"/>
        <w:numPr>
          <w:ilvl w:val="0"/>
          <w:numId w:val="1001"/>
        </w:numPr>
      </w:pPr>
      <w:r>
        <w:t xml:space="preserve">Ver listado de usuarios.</w:t>
      </w:r>
    </w:p>
    <w:bookmarkEnd w:id="21"/>
    <w:bookmarkStart w:id="22" w:name="que-no-puede-hacer"/>
    <w:p>
      <w:pPr>
        <w:pStyle w:val="Heading2"/>
      </w:pPr>
      <w:r>
        <w:t xml:space="preserve">Que no puede hacer</w:t>
      </w:r>
    </w:p>
    <w:p>
      <w:pPr>
        <w:pStyle w:val="Compact"/>
        <w:numPr>
          <w:ilvl w:val="0"/>
          <w:numId w:val="1002"/>
        </w:numPr>
      </w:pPr>
      <w:r>
        <w:t xml:space="preserve">Crear, editar o borrar nodos, relaciones o software.</w:t>
      </w:r>
    </w:p>
    <w:p>
      <w:pPr>
        <w:pStyle w:val="Compact"/>
        <w:numPr>
          <w:ilvl w:val="0"/>
          <w:numId w:val="1002"/>
        </w:numPr>
      </w:pPr>
      <w:r>
        <w:t xml:space="preserve">Crear, editar, borrar o reasignar activos.</w:t>
      </w:r>
    </w:p>
    <w:p>
      <w:pPr>
        <w:pStyle w:val="Compact"/>
        <w:numPr>
          <w:ilvl w:val="0"/>
          <w:numId w:val="1002"/>
        </w:numPr>
      </w:pPr>
      <w:r>
        <w:t xml:space="preserve">Crear, editar o borrar usuarios.</w:t>
      </w:r>
    </w:p>
    <w:p>
      <w:pPr>
        <w:pStyle w:val="Compact"/>
        <w:numPr>
          <w:ilvl w:val="0"/>
          <w:numId w:val="1002"/>
        </w:numPr>
      </w:pPr>
      <w:r>
        <w:t xml:space="preserve">Enviar reset links.</w:t>
      </w:r>
    </w:p>
    <w:p>
      <w:pPr>
        <w:pStyle w:val="Compact"/>
        <w:numPr>
          <w:ilvl w:val="0"/>
          <w:numId w:val="1002"/>
        </w:numPr>
      </w:pPr>
      <w:r>
        <w:t xml:space="preserve">Ejecutar tareas de administracion de tenant.</w:t>
      </w:r>
    </w:p>
    <w:bookmarkEnd w:id="22"/>
    <w:bookmarkStart w:id="26" w:name="flujos-de-auditoria-sugeridos"/>
    <w:p>
      <w:pPr>
        <w:pStyle w:val="Heading2"/>
      </w:pPr>
      <w:r>
        <w:t xml:space="preserve">Flujos de auditoria sugeridos</w:t>
      </w:r>
    </w:p>
    <w:bookmarkStart w:id="23" w:name="revision-de-topologia"/>
    <w:p>
      <w:pPr>
        <w:pStyle w:val="Heading3"/>
      </w:pPr>
      <w:r>
        <w:t xml:space="preserve">1) Revision de topologia</w:t>
      </w:r>
    </w:p>
    <w:p>
      <w:pPr>
        <w:pStyle w:val="Compact"/>
        <w:numPr>
          <w:ilvl w:val="0"/>
          <w:numId w:val="1003"/>
        </w:numPr>
      </w:pPr>
      <w:r>
        <w:t xml:space="preserve">Abrir /red.</w:t>
      </w:r>
    </w:p>
    <w:p>
      <w:pPr>
        <w:pStyle w:val="Compact"/>
        <w:numPr>
          <w:ilvl w:val="0"/>
          <w:numId w:val="1003"/>
        </w:numPr>
      </w:pPr>
      <w:r>
        <w:t xml:space="preserve">Revisar conectividad entre nodos y campus.</w:t>
      </w:r>
    </w:p>
    <w:p>
      <w:pPr>
        <w:pStyle w:val="Compact"/>
        <w:numPr>
          <w:ilvl w:val="0"/>
          <w:numId w:val="1003"/>
        </w:numPr>
      </w:pPr>
      <w:r>
        <w:t xml:space="preserve">Identificar inconsistencias para reporte.</w:t>
      </w:r>
    </w:p>
    <w:bookmarkEnd w:id="23"/>
    <w:bookmarkStart w:id="24" w:name="revision-de-monitoreo"/>
    <w:p>
      <w:pPr>
        <w:pStyle w:val="Heading3"/>
      </w:pPr>
      <w:r>
        <w:t xml:space="preserve">2) Revision de monitoreo</w:t>
      </w:r>
    </w:p>
    <w:p>
      <w:pPr>
        <w:pStyle w:val="Compact"/>
        <w:numPr>
          <w:ilvl w:val="0"/>
          <w:numId w:val="1004"/>
        </w:numPr>
      </w:pPr>
      <w:r>
        <w:t xml:space="preserve">Abrir /admin/monitoring/overview.</w:t>
      </w:r>
    </w:p>
    <w:p>
      <w:pPr>
        <w:pStyle w:val="Compact"/>
        <w:numPr>
          <w:ilvl w:val="0"/>
          <w:numId w:val="1004"/>
        </w:numPr>
      </w:pPr>
      <w:r>
        <w:t xml:space="preserve">Registrar nodos con warning/error.</w:t>
      </w:r>
    </w:p>
    <w:p>
      <w:pPr>
        <w:pStyle w:val="Compact"/>
        <w:numPr>
          <w:ilvl w:val="0"/>
          <w:numId w:val="1004"/>
        </w:numPr>
      </w:pPr>
      <w:r>
        <w:t xml:space="preserve">Solicitar plan de remediacion al equipo operativo.</w:t>
      </w:r>
    </w:p>
    <w:bookmarkEnd w:id="24"/>
    <w:bookmarkStart w:id="25" w:name="revision-de-inventario-y-responsivas"/>
    <w:p>
      <w:pPr>
        <w:pStyle w:val="Heading3"/>
      </w:pPr>
      <w:r>
        <w:t xml:space="preserve">3) Revision de inventario y responsivas</w:t>
      </w:r>
    </w:p>
    <w:p>
      <w:pPr>
        <w:pStyle w:val="Compact"/>
        <w:numPr>
          <w:ilvl w:val="0"/>
          <w:numId w:val="1005"/>
        </w:numPr>
      </w:pPr>
      <w:r>
        <w:t xml:space="preserve">Revisar activos en panel admin.</w:t>
      </w:r>
    </w:p>
    <w:p>
      <w:pPr>
        <w:pStyle w:val="Compact"/>
        <w:numPr>
          <w:ilvl w:val="0"/>
          <w:numId w:val="1005"/>
        </w:numPr>
      </w:pPr>
      <w:r>
        <w:t xml:space="preserve">Abrir bitacora de asignacion por activo.</w:t>
      </w:r>
    </w:p>
    <w:p>
      <w:pPr>
        <w:pStyle w:val="Compact"/>
        <w:numPr>
          <w:ilvl w:val="0"/>
          <w:numId w:val="1005"/>
        </w:numPr>
      </w:pPr>
      <w:r>
        <w:t xml:space="preserve">Verificar evidencia de firmas y trazabilidad.</w:t>
      </w:r>
    </w:p>
    <w:p>
      <w:pPr>
        <w:pStyle w:val="Compact"/>
        <w:numPr>
          <w:ilvl w:val="0"/>
          <w:numId w:val="1005"/>
        </w:numPr>
      </w:pPr>
      <w:r>
        <w:t xml:space="preserve">Validar codigos de verificacion de responsivas cuando aplique.</w:t>
      </w:r>
    </w:p>
    <w:bookmarkEnd w:id="25"/>
    <w:bookmarkEnd w:id="26"/>
    <w:bookmarkStart w:id="27" w:name="evidencia-minima-recomendada"/>
    <w:p>
      <w:pPr>
        <w:pStyle w:val="Heading2"/>
      </w:pPr>
      <w:r>
        <w:t xml:space="preserve">Evidencia minima recomendada</w:t>
      </w:r>
    </w:p>
    <w:p>
      <w:pPr>
        <w:pStyle w:val="Compact"/>
        <w:numPr>
          <w:ilvl w:val="0"/>
          <w:numId w:val="1006"/>
        </w:numPr>
      </w:pPr>
      <w:r>
        <w:t xml:space="preserve">Fecha y hora de consulta.</w:t>
      </w:r>
    </w:p>
    <w:p>
      <w:pPr>
        <w:pStyle w:val="Compact"/>
        <w:numPr>
          <w:ilvl w:val="0"/>
          <w:numId w:val="1006"/>
        </w:numPr>
      </w:pPr>
      <w:r>
        <w:t xml:space="preserve">Campus revisado.</w:t>
      </w:r>
    </w:p>
    <w:p>
      <w:pPr>
        <w:pStyle w:val="Compact"/>
        <w:numPr>
          <w:ilvl w:val="0"/>
          <w:numId w:val="1006"/>
        </w:numPr>
      </w:pPr>
      <w:r>
        <w:t xml:space="preserve">Hallazgo detectado.</w:t>
      </w:r>
    </w:p>
    <w:p>
      <w:pPr>
        <w:pStyle w:val="Compact"/>
        <w:numPr>
          <w:ilvl w:val="0"/>
          <w:numId w:val="1006"/>
        </w:numPr>
      </w:pPr>
      <w:r>
        <w:t xml:space="preserve">Riesgo estimado.</w:t>
      </w:r>
    </w:p>
    <w:p>
      <w:pPr>
        <w:pStyle w:val="Compact"/>
        <w:numPr>
          <w:ilvl w:val="0"/>
          <w:numId w:val="1006"/>
        </w:numPr>
      </w:pPr>
      <w:r>
        <w:t xml:space="preserve">Accion recomendada.</w:t>
      </w:r>
    </w:p>
    <w:bookmarkEnd w:id="27"/>
    <w:bookmarkStart w:id="28" w:name="errores-comunes-y-solucion"/>
    <w:p>
      <w:pPr>
        <w:pStyle w:val="Heading2"/>
      </w:pPr>
      <w:r>
        <w:t xml:space="preserve">Errores comunes y solucion</w:t>
      </w:r>
    </w:p>
    <w:p>
      <w:pPr>
        <w:pStyle w:val="Compact"/>
        <w:numPr>
          <w:ilvl w:val="0"/>
          <w:numId w:val="1007"/>
        </w:numPr>
      </w:pPr>
      <w:r>
        <w:t xml:space="preserve">No puede guardar cambios: esperado por perfil de solo lectura.</w:t>
      </w:r>
    </w:p>
    <w:p>
      <w:pPr>
        <w:pStyle w:val="Compact"/>
        <w:numPr>
          <w:ilvl w:val="0"/>
          <w:numId w:val="1007"/>
        </w:numPr>
      </w:pPr>
      <w:r>
        <w:t xml:space="preserve">No ve modulo completo: validar alcance por campus y permisos activos.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2026-04-16T17:37:21Z</dcterms:created>
  <dcterms:modified xsi:type="dcterms:W3CDTF">2026-04-16T17:37:21Z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