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esentacion-para-comite-de-direccion"/>
    <w:p>
      <w:pPr>
        <w:pStyle w:val="Heading1"/>
      </w:pPr>
      <w:r>
        <w:t xml:space="preserve">Presentacion para comite de direccion</w:t>
      </w:r>
    </w:p>
    <w:bookmarkStart w:id="20" w:name="diapositiva-1-portada"/>
    <w:p>
      <w:pPr>
        <w:pStyle w:val="Heading2"/>
      </w:pPr>
      <w:r>
        <w:t xml:space="preserve">Diapositiva 1: Portada</w:t>
      </w:r>
    </w:p>
    <w:p>
      <w:pPr>
        <w:pStyle w:val="Compact"/>
        <w:numPr>
          <w:ilvl w:val="0"/>
          <w:numId w:val="1001"/>
        </w:numPr>
      </w:pPr>
      <w:r>
        <w:t xml:space="preserve">ITCity: Estado de control operativo y gobierno de accesos</w:t>
      </w:r>
    </w:p>
    <w:p>
      <w:pPr>
        <w:pStyle w:val="Compact"/>
        <w:numPr>
          <w:ilvl w:val="0"/>
          <w:numId w:val="1001"/>
        </w:numPr>
      </w:pPr>
      <w:r>
        <w:t xml:space="preserve">Comite de direccion</w:t>
      </w:r>
    </w:p>
    <w:p>
      <w:pPr>
        <w:pStyle w:val="Compact"/>
        <w:numPr>
          <w:ilvl w:val="0"/>
          <w:numId w:val="1001"/>
        </w:numPr>
      </w:pPr>
      <w:r>
        <w:t xml:space="preserve">Fecha: 2026-04-16</w:t>
      </w:r>
    </w:p>
    <w:bookmarkEnd w:id="20"/>
    <w:bookmarkStart w:id="21" w:name="diapositiva-2-objetivo-ejecutivo"/>
    <w:p>
      <w:pPr>
        <w:pStyle w:val="Heading2"/>
      </w:pPr>
      <w:r>
        <w:t xml:space="preserve">Diapositiva 2: Objetivo ejecutivo</w:t>
      </w:r>
    </w:p>
    <w:p>
      <w:pPr>
        <w:pStyle w:val="Compact"/>
        <w:numPr>
          <w:ilvl w:val="0"/>
          <w:numId w:val="1002"/>
        </w:numPr>
      </w:pPr>
      <w:r>
        <w:t xml:space="preserve">Confirmar que la operacion diaria esta bajo control</w:t>
      </w:r>
    </w:p>
    <w:p>
      <w:pPr>
        <w:pStyle w:val="Compact"/>
        <w:numPr>
          <w:ilvl w:val="0"/>
          <w:numId w:val="1002"/>
        </w:numPr>
      </w:pPr>
      <w:r>
        <w:t xml:space="preserve">Validar segregacion de funciones por nivel</w:t>
      </w:r>
    </w:p>
    <w:p>
      <w:pPr>
        <w:pStyle w:val="Compact"/>
        <w:numPr>
          <w:ilvl w:val="0"/>
          <w:numId w:val="1002"/>
        </w:numPr>
      </w:pPr>
      <w:r>
        <w:t xml:space="preserve">Priorizar acciones para reducir riesgo operativo</w:t>
      </w:r>
    </w:p>
    <w:bookmarkEnd w:id="21"/>
    <w:bookmarkStart w:id="22" w:name="diapositiva-3-modelo-de-roles"/>
    <w:p>
      <w:pPr>
        <w:pStyle w:val="Heading2"/>
      </w:pPr>
      <w:r>
        <w:t xml:space="preserve">Diapositiva 3: Modelo de roles</w:t>
      </w:r>
    </w:p>
    <w:p>
      <w:pPr>
        <w:pStyle w:val="Compact"/>
        <w:numPr>
          <w:ilvl w:val="0"/>
          <w:numId w:val="1003"/>
        </w:numPr>
      </w:pPr>
      <w:r>
        <w:t xml:space="preserve">Administrador completo: control integral del tenant</w:t>
      </w:r>
    </w:p>
    <w:p>
      <w:pPr>
        <w:pStyle w:val="Compact"/>
        <w:numPr>
          <w:ilvl w:val="0"/>
          <w:numId w:val="1003"/>
        </w:numPr>
      </w:pPr>
      <w:r>
        <w:t xml:space="preserve">Administrador operativo: gestion diaria sin funciones tenant avanzadas</w:t>
      </w:r>
    </w:p>
    <w:p>
      <w:pPr>
        <w:pStyle w:val="Compact"/>
        <w:numPr>
          <w:ilvl w:val="0"/>
          <w:numId w:val="1003"/>
        </w:numPr>
      </w:pPr>
      <w:r>
        <w:t xml:space="preserve">Auditor (solo lectura): verificacion y evidencia sin cambios</w:t>
      </w:r>
    </w:p>
    <w:bookmarkEnd w:id="22"/>
    <w:bookmarkStart w:id="23" w:name="diapositiva-4-controles-activos"/>
    <w:p>
      <w:pPr>
        <w:pStyle w:val="Heading2"/>
      </w:pPr>
      <w:r>
        <w:t xml:space="preserve">Diapositiva 4: Controles activos</w:t>
      </w:r>
    </w:p>
    <w:p>
      <w:pPr>
        <w:pStyle w:val="Compact"/>
        <w:numPr>
          <w:ilvl w:val="0"/>
          <w:numId w:val="1004"/>
        </w:numPr>
      </w:pPr>
      <w:r>
        <w:t xml:space="preserve">Permisos por perfil y middleware de autorizacion</w:t>
      </w:r>
    </w:p>
    <w:p>
      <w:pPr>
        <w:pStyle w:val="Compact"/>
        <w:numPr>
          <w:ilvl w:val="0"/>
          <w:numId w:val="1004"/>
        </w:numPr>
      </w:pPr>
      <w:r>
        <w:t xml:space="preserve">Restriccion por campus (scope)</w:t>
      </w:r>
    </w:p>
    <w:p>
      <w:pPr>
        <w:pStyle w:val="Compact"/>
        <w:numPr>
          <w:ilvl w:val="0"/>
          <w:numId w:val="1004"/>
        </w:numPr>
      </w:pPr>
      <w:r>
        <w:t xml:space="preserve">Bitacora de reasignaciones</w:t>
      </w:r>
    </w:p>
    <w:p>
      <w:pPr>
        <w:pStyle w:val="Compact"/>
        <w:numPr>
          <w:ilvl w:val="0"/>
          <w:numId w:val="1004"/>
        </w:numPr>
      </w:pPr>
      <w:r>
        <w:t xml:space="preserve">Responsivas con firma y verificacion por QR/codigo</w:t>
      </w:r>
    </w:p>
    <w:bookmarkEnd w:id="23"/>
    <w:bookmarkStart w:id="24" w:name="diapositiva-5-riesgos-clave"/>
    <w:p>
      <w:pPr>
        <w:pStyle w:val="Heading2"/>
      </w:pPr>
      <w:r>
        <w:t xml:space="preserve">Diapositiva 5: Riesgos clave</w:t>
      </w:r>
    </w:p>
    <w:p>
      <w:pPr>
        <w:pStyle w:val="Compact"/>
        <w:numPr>
          <w:ilvl w:val="0"/>
          <w:numId w:val="1005"/>
        </w:numPr>
      </w:pPr>
      <w:r>
        <w:t xml:space="preserve">Asignacion incorrecta de perfil y permisos</w:t>
      </w:r>
    </w:p>
    <w:p>
      <w:pPr>
        <w:pStyle w:val="Compact"/>
        <w:numPr>
          <w:ilvl w:val="0"/>
          <w:numId w:val="1005"/>
        </w:numPr>
      </w:pPr>
      <w:r>
        <w:t xml:space="preserve">Acceso a datos fuera del campus autorizado</w:t>
      </w:r>
    </w:p>
    <w:p>
      <w:pPr>
        <w:pStyle w:val="Compact"/>
        <w:numPr>
          <w:ilvl w:val="0"/>
          <w:numId w:val="1005"/>
        </w:numPr>
      </w:pPr>
      <w:r>
        <w:t xml:space="preserve">Reasignaciones sin evidencia completa</w:t>
      </w:r>
    </w:p>
    <w:p>
      <w:pPr>
        <w:pStyle w:val="Compact"/>
        <w:numPr>
          <w:ilvl w:val="0"/>
          <w:numId w:val="1005"/>
        </w:numPr>
      </w:pPr>
      <w:r>
        <w:t xml:space="preserve">Dependencia de cuentas privilegiadas globales</w:t>
      </w:r>
    </w:p>
    <w:bookmarkEnd w:id="24"/>
    <w:bookmarkStart w:id="25" w:name="diapositiva-6-mitigaciones-en-curso"/>
    <w:p>
      <w:pPr>
        <w:pStyle w:val="Heading2"/>
      </w:pPr>
      <w:r>
        <w:t xml:space="preserve">Diapositiva 6: Mitigaciones en curso</w:t>
      </w:r>
    </w:p>
    <w:p>
      <w:pPr>
        <w:pStyle w:val="Compact"/>
        <w:numPr>
          <w:ilvl w:val="0"/>
          <w:numId w:val="1006"/>
        </w:numPr>
      </w:pPr>
      <w:r>
        <w:t xml:space="preserve">Revisiones periodicas de perfiles y overrides</w:t>
      </w:r>
    </w:p>
    <w:p>
      <w:pPr>
        <w:pStyle w:val="Compact"/>
        <w:numPr>
          <w:ilvl w:val="0"/>
          <w:numId w:val="1006"/>
        </w:numPr>
      </w:pPr>
      <w:r>
        <w:t xml:space="preserve">Validacion de scope por campus en flujos criticos</w:t>
      </w:r>
    </w:p>
    <w:p>
      <w:pPr>
        <w:pStyle w:val="Compact"/>
        <w:numPr>
          <w:ilvl w:val="0"/>
          <w:numId w:val="1006"/>
        </w:numPr>
      </w:pPr>
      <w:r>
        <w:t xml:space="preserve">Estandarizacion de evidencia en inventario y responsivas</w:t>
      </w:r>
    </w:p>
    <w:p>
      <w:pPr>
        <w:pStyle w:val="Compact"/>
        <w:numPr>
          <w:ilvl w:val="0"/>
          <w:numId w:val="1006"/>
        </w:numPr>
      </w:pPr>
      <w:r>
        <w:t xml:space="preserve">Capacitacion por rol con evaluacion</w:t>
      </w:r>
    </w:p>
    <w:bookmarkEnd w:id="25"/>
    <w:bookmarkStart w:id="26" w:name="X745c078d5027a4729996ab49c82edfbc20d6829"/>
    <w:p>
      <w:pPr>
        <w:pStyle w:val="Heading2"/>
      </w:pPr>
      <w:r>
        <w:t xml:space="preserve">Diapositiva 7: KPI sugeridos para direccion</w:t>
      </w:r>
    </w:p>
    <w:p>
      <w:pPr>
        <w:pStyle w:val="Compact"/>
        <w:numPr>
          <w:ilvl w:val="0"/>
          <w:numId w:val="1007"/>
        </w:numPr>
      </w:pPr>
      <w:r>
        <w:t xml:space="preserve">% usuarios con perfil y scope validados</w:t>
      </w:r>
    </w:p>
    <w:p>
      <w:pPr>
        <w:pStyle w:val="Compact"/>
        <w:numPr>
          <w:ilvl w:val="0"/>
          <w:numId w:val="1007"/>
        </w:numPr>
      </w:pPr>
      <w:r>
        <w:t xml:space="preserve">Tiempo promedio de cierre de incidentes</w:t>
      </w:r>
    </w:p>
    <w:p>
      <w:pPr>
        <w:pStyle w:val="Compact"/>
        <w:numPr>
          <w:ilvl w:val="0"/>
          <w:numId w:val="1007"/>
        </w:numPr>
      </w:pPr>
      <w:r>
        <w:t xml:space="preserve">% reasignaciones con evidencia completa</w:t>
      </w:r>
    </w:p>
    <w:p>
      <w:pPr>
        <w:pStyle w:val="Compact"/>
        <w:numPr>
          <w:ilvl w:val="0"/>
          <w:numId w:val="1007"/>
        </w:numPr>
      </w:pPr>
      <w:r>
        <w:t xml:space="preserve">Hallazgos abiertos vs cerrados por periodo</w:t>
      </w:r>
    </w:p>
    <w:p>
      <w:pPr>
        <w:pStyle w:val="Compact"/>
        <w:numPr>
          <w:ilvl w:val="0"/>
          <w:numId w:val="1007"/>
        </w:numPr>
      </w:pPr>
      <w:r>
        <w:t xml:space="preserve">Cobertura de nodos monitorizados por campus</w:t>
      </w:r>
    </w:p>
    <w:bookmarkEnd w:id="26"/>
    <w:bookmarkStart w:id="27" w:name="diapositiva-8-estado-operativo-esperado"/>
    <w:p>
      <w:pPr>
        <w:pStyle w:val="Heading2"/>
      </w:pPr>
      <w:r>
        <w:t xml:space="preserve">Diapositiva 8: Estado operativo esperado</w:t>
      </w:r>
    </w:p>
    <w:p>
      <w:pPr>
        <w:pStyle w:val="Compact"/>
        <w:numPr>
          <w:ilvl w:val="0"/>
          <w:numId w:val="1008"/>
        </w:numPr>
      </w:pPr>
      <w:r>
        <w:t xml:space="preserve">Topologia: consistente y trazable por campus</w:t>
      </w:r>
    </w:p>
    <w:p>
      <w:pPr>
        <w:pStyle w:val="Compact"/>
        <w:numPr>
          <w:ilvl w:val="0"/>
          <w:numId w:val="1008"/>
        </w:numPr>
      </w:pPr>
      <w:r>
        <w:t xml:space="preserve">Monitoreo: alertas priorizadas y con seguimiento</w:t>
      </w:r>
    </w:p>
    <w:p>
      <w:pPr>
        <w:pStyle w:val="Compact"/>
        <w:numPr>
          <w:ilvl w:val="0"/>
          <w:numId w:val="1008"/>
        </w:numPr>
      </w:pPr>
      <w:r>
        <w:t xml:space="preserve">Inventario: cambios auditables con responsables claros</w:t>
      </w:r>
    </w:p>
    <w:p>
      <w:pPr>
        <w:pStyle w:val="Compact"/>
        <w:numPr>
          <w:ilvl w:val="0"/>
          <w:numId w:val="1008"/>
        </w:numPr>
      </w:pPr>
      <w:r>
        <w:t xml:space="preserve">Usuarios: accesos ajustados al principio de minimo privilegio</w:t>
      </w:r>
    </w:p>
    <w:bookmarkEnd w:id="27"/>
    <w:bookmarkStart w:id="28" w:name="diapositiva-9-plan-30-60-dias"/>
    <w:p>
      <w:pPr>
        <w:pStyle w:val="Heading2"/>
      </w:pPr>
      <w:r>
        <w:t xml:space="preserve">Diapositiva 9: Plan 30-60 dias</w:t>
      </w:r>
    </w:p>
    <w:p>
      <w:pPr>
        <w:pStyle w:val="Compact"/>
        <w:numPr>
          <w:ilvl w:val="0"/>
          <w:numId w:val="1009"/>
        </w:numPr>
      </w:pPr>
      <w:r>
        <w:t xml:space="preserve">Comite mensual de accesos y alcance</w:t>
      </w:r>
    </w:p>
    <w:p>
      <w:pPr>
        <w:pStyle w:val="Compact"/>
        <w:numPr>
          <w:ilvl w:val="0"/>
          <w:numId w:val="1009"/>
        </w:numPr>
      </w:pPr>
      <w:r>
        <w:t xml:space="preserve">Politica formal de reasignacion con evidencia minima</w:t>
      </w:r>
    </w:p>
    <w:p>
      <w:pPr>
        <w:pStyle w:val="Compact"/>
        <w:numPr>
          <w:ilvl w:val="0"/>
          <w:numId w:val="1009"/>
        </w:numPr>
      </w:pPr>
      <w:r>
        <w:t xml:space="preserve">Tablero de KPI operativo y auditoria</w:t>
      </w:r>
    </w:p>
    <w:p>
      <w:pPr>
        <w:pStyle w:val="Compact"/>
        <w:numPr>
          <w:ilvl w:val="0"/>
          <w:numId w:val="1009"/>
        </w:numPr>
      </w:pPr>
      <w:r>
        <w:t xml:space="preserve">Ciclo trimestral de capacitacion por rol</w:t>
      </w:r>
    </w:p>
    <w:bookmarkEnd w:id="28"/>
    <w:bookmarkStart w:id="29" w:name="diapositiva-10-decisiones-solicitadas"/>
    <w:p>
      <w:pPr>
        <w:pStyle w:val="Heading2"/>
      </w:pPr>
      <w:r>
        <w:t xml:space="preserve">Diapositiva 10: Decisiones solicitadas</w:t>
      </w:r>
    </w:p>
    <w:p>
      <w:pPr>
        <w:pStyle w:val="Compact"/>
        <w:numPr>
          <w:ilvl w:val="0"/>
          <w:numId w:val="1010"/>
        </w:numPr>
      </w:pPr>
      <w:r>
        <w:t xml:space="preserve">Aprobar marco de revisiones mensuales de acceso</w:t>
      </w:r>
    </w:p>
    <w:p>
      <w:pPr>
        <w:pStyle w:val="Compact"/>
        <w:numPr>
          <w:ilvl w:val="0"/>
          <w:numId w:val="1010"/>
        </w:numPr>
      </w:pPr>
      <w:r>
        <w:t xml:space="preserve">Aprobar KPI directivos y metas trimestrales</w:t>
      </w:r>
    </w:p>
    <w:p>
      <w:pPr>
        <w:pStyle w:val="Compact"/>
        <w:numPr>
          <w:ilvl w:val="0"/>
          <w:numId w:val="1010"/>
        </w:numPr>
      </w:pPr>
      <w:r>
        <w:t xml:space="preserve">Aprobar plan de capacitacion y seguimiento de cumplimiento</w:t>
      </w:r>
    </w:p>
    <w:bookmarkEnd w:id="29"/>
    <w:bookmarkStart w:id="30" w:name="notas-para-presenter"/>
    <w:p>
      <w:pPr>
        <w:pStyle w:val="Heading2"/>
      </w:pPr>
      <w:r>
        <w:t xml:space="preserve">Notas para presenter</w:t>
      </w:r>
    </w:p>
    <w:p>
      <w:pPr>
        <w:pStyle w:val="Compact"/>
        <w:numPr>
          <w:ilvl w:val="0"/>
          <w:numId w:val="1011"/>
        </w:numPr>
      </w:pPr>
      <w:r>
        <w:t xml:space="preserve">Duracion sugerida: 12 a 15 minutos</w:t>
      </w:r>
    </w:p>
    <w:p>
      <w:pPr>
        <w:pStyle w:val="Compact"/>
        <w:numPr>
          <w:ilvl w:val="0"/>
          <w:numId w:val="1011"/>
        </w:numPr>
      </w:pPr>
      <w:r>
        <w:t xml:space="preserve">Enfoque: riesgo, control y capacidad de escalamiento</w:t>
      </w:r>
    </w:p>
    <w:p>
      <w:pPr>
        <w:pStyle w:val="Compact"/>
        <w:numPr>
          <w:ilvl w:val="0"/>
          <w:numId w:val="1011"/>
        </w:numPr>
      </w:pPr>
      <w:r>
        <w:t xml:space="preserve">Cierre: decisiones concretas y responsables por accion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2026-04-16T17:37:22Z</dcterms:created>
  <dcterms:modified xsi:type="dcterms:W3CDTF">2026-04-16T17:37:22Z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