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sumen-ejecutivo-itcity-para-direccion"/>
    <w:p>
      <w:pPr>
        <w:pStyle w:val="Heading1"/>
      </w:pPr>
      <w:r>
        <w:t xml:space="preserve">Resumen ejecutivo ITCity para direccion</w:t>
      </w:r>
    </w:p>
    <w:bookmarkStart w:id="20" w:name="proposito"/>
    <w:p>
      <w:pPr>
        <w:pStyle w:val="Heading2"/>
      </w:pPr>
      <w:r>
        <w:t xml:space="preserve">Proposito</w:t>
      </w:r>
    </w:p>
    <w:p>
      <w:pPr>
        <w:pStyle w:val="FirstParagraph"/>
      </w:pPr>
      <w:r>
        <w:t xml:space="preserve">Este documento resume en una sola pagina el estado de gobierno operativo, control de accesos y trazabilidad de ITCity para toma de decisiones directivas.</w:t>
      </w:r>
    </w:p>
    <w:bookmarkEnd w:id="20"/>
    <w:bookmarkStart w:id="21" w:name="panorama-general"/>
    <w:p>
      <w:pPr>
        <w:pStyle w:val="Heading2"/>
      </w:pPr>
      <w:r>
        <w:t xml:space="preserve">Panorama general</w:t>
      </w:r>
    </w:p>
    <w:p>
      <w:pPr>
        <w:pStyle w:val="FirstParagraph"/>
      </w:pPr>
      <w:r>
        <w:t xml:space="preserve">ITCity opera con control por perfiles y alcance por campus. La plataforma separa funciones de topologia, monitoreo, inventario y administracion de usuarios para reducir riesgo operativo.</w:t>
      </w:r>
    </w:p>
    <w:bookmarkEnd w:id="21"/>
    <w:bookmarkStart w:id="22" w:name="niveles-de-acceso"/>
    <w:p>
      <w:pPr>
        <w:pStyle w:val="Heading2"/>
      </w:pPr>
      <w:r>
        <w:t xml:space="preserve">Niveles de acceso</w:t>
      </w:r>
    </w:p>
    <w:p>
      <w:pPr>
        <w:pStyle w:val="Compact"/>
        <w:numPr>
          <w:ilvl w:val="0"/>
          <w:numId w:val="1001"/>
        </w:numPr>
      </w:pPr>
      <w:r>
        <w:t xml:space="preserve">Administrador completo</w:t>
      </w:r>
    </w:p>
    <w:p>
      <w:pPr>
        <w:pStyle w:val="Compact"/>
        <w:numPr>
          <w:ilvl w:val="0"/>
          <w:numId w:val="1002"/>
        </w:numPr>
      </w:pPr>
      <w:r>
        <w:t xml:space="preserve">Control total del tenant.</w:t>
      </w:r>
    </w:p>
    <w:p>
      <w:pPr>
        <w:pStyle w:val="Compact"/>
        <w:numPr>
          <w:ilvl w:val="0"/>
          <w:numId w:val="1002"/>
        </w:numPr>
      </w:pPr>
      <w:r>
        <w:t xml:space="preserve">Define estructura, usuarios, inventario y despliegues de agente.</w:t>
      </w:r>
    </w:p>
    <w:p>
      <w:pPr>
        <w:pStyle w:val="Compact"/>
        <w:numPr>
          <w:ilvl w:val="0"/>
          <w:numId w:val="1003"/>
        </w:numPr>
      </w:pPr>
      <w:r>
        <w:t xml:space="preserve">Administrador operativo</w:t>
      </w:r>
    </w:p>
    <w:p>
      <w:pPr>
        <w:pStyle w:val="Compact"/>
        <w:numPr>
          <w:ilvl w:val="0"/>
          <w:numId w:val="1004"/>
        </w:numPr>
      </w:pPr>
      <w:r>
        <w:t xml:space="preserve">Gestion diaria de topologia, monitoreo, inventario y usuarios.</w:t>
      </w:r>
    </w:p>
    <w:p>
      <w:pPr>
        <w:pStyle w:val="Compact"/>
        <w:numPr>
          <w:ilvl w:val="0"/>
          <w:numId w:val="1004"/>
        </w:numPr>
      </w:pPr>
      <w:r>
        <w:t xml:space="preserve">Sin funciones de administracion tenant avanzada.</w:t>
      </w:r>
    </w:p>
    <w:p>
      <w:pPr>
        <w:pStyle w:val="Compact"/>
        <w:numPr>
          <w:ilvl w:val="0"/>
          <w:numId w:val="1005"/>
        </w:numPr>
      </w:pPr>
      <w:r>
        <w:t xml:space="preserve">Auditor (solo lectura)</w:t>
      </w:r>
    </w:p>
    <w:p>
      <w:pPr>
        <w:pStyle w:val="Compact"/>
        <w:numPr>
          <w:ilvl w:val="0"/>
          <w:numId w:val="1006"/>
        </w:numPr>
      </w:pPr>
      <w:r>
        <w:t xml:space="preserve">Visibilidad integral sin permisos de modificacion.</w:t>
      </w:r>
    </w:p>
    <w:p>
      <w:pPr>
        <w:pStyle w:val="Compact"/>
        <w:numPr>
          <w:ilvl w:val="0"/>
          <w:numId w:val="1006"/>
        </w:numPr>
      </w:pPr>
      <w:r>
        <w:t xml:space="preserve">Enfocado en verificacion y evidencia.</w:t>
      </w:r>
    </w:p>
    <w:bookmarkEnd w:id="22"/>
    <w:bookmarkStart w:id="23" w:name="controles-clave"/>
    <w:p>
      <w:pPr>
        <w:pStyle w:val="Heading2"/>
      </w:pPr>
      <w:r>
        <w:t xml:space="preserve">Controles clave</w:t>
      </w:r>
    </w:p>
    <w:p>
      <w:pPr>
        <w:pStyle w:val="Compact"/>
        <w:numPr>
          <w:ilvl w:val="0"/>
          <w:numId w:val="1007"/>
        </w:numPr>
      </w:pPr>
      <w:r>
        <w:t xml:space="preserve">Control de permisos por perfil.</w:t>
      </w:r>
    </w:p>
    <w:p>
      <w:pPr>
        <w:pStyle w:val="Compact"/>
        <w:numPr>
          <w:ilvl w:val="0"/>
          <w:numId w:val="1007"/>
        </w:numPr>
      </w:pPr>
      <w:r>
        <w:t xml:space="preserve">Restriccion de acceso por campus (scope).</w:t>
      </w:r>
    </w:p>
    <w:p>
      <w:pPr>
        <w:pStyle w:val="Compact"/>
        <w:numPr>
          <w:ilvl w:val="0"/>
          <w:numId w:val="1007"/>
        </w:numPr>
      </w:pPr>
      <w:r>
        <w:t xml:space="preserve">Bitacora de reasignaciones de activos.</w:t>
      </w:r>
    </w:p>
    <w:p>
      <w:pPr>
        <w:pStyle w:val="Compact"/>
        <w:numPr>
          <w:ilvl w:val="0"/>
          <w:numId w:val="1007"/>
        </w:numPr>
      </w:pPr>
      <w:r>
        <w:t xml:space="preserve">Flujo de responsiva con evidencia de firma.</w:t>
      </w:r>
    </w:p>
    <w:p>
      <w:pPr>
        <w:pStyle w:val="Compact"/>
        <w:numPr>
          <w:ilvl w:val="0"/>
          <w:numId w:val="1007"/>
        </w:numPr>
      </w:pPr>
      <w:r>
        <w:t xml:space="preserve">Verificacion de responsiva por codigo/QR.</w:t>
      </w:r>
    </w:p>
    <w:bookmarkEnd w:id="23"/>
    <w:bookmarkStart w:id="24" w:name="riesgos-principales-y-mitigaciones"/>
    <w:p>
      <w:pPr>
        <w:pStyle w:val="Heading2"/>
      </w:pPr>
      <w:r>
        <w:t xml:space="preserve">Riesgos principales y mitigaciones</w:t>
      </w:r>
    </w:p>
    <w:p>
      <w:pPr>
        <w:pStyle w:val="Compact"/>
        <w:numPr>
          <w:ilvl w:val="0"/>
          <w:numId w:val="1008"/>
        </w:numPr>
      </w:pPr>
      <w:r>
        <w:t xml:space="preserve">Riesgo: acceso excesivo por mala asignacion de perfil.</w:t>
      </w:r>
    </w:p>
    <w:p>
      <w:pPr>
        <w:pStyle w:val="Compact"/>
        <w:numPr>
          <w:ilvl w:val="0"/>
          <w:numId w:val="1009"/>
        </w:numPr>
      </w:pPr>
      <w:r>
        <w:t xml:space="preserve">Mitigacion: revision mensual de perfiles y overrides.</w:t>
      </w:r>
    </w:p>
    <w:p>
      <w:pPr>
        <w:pStyle w:val="Compact"/>
        <w:numPr>
          <w:ilvl w:val="0"/>
          <w:numId w:val="1010"/>
        </w:numPr>
      </w:pPr>
      <w:r>
        <w:t xml:space="preserve">Riesgo: visualizacion de datos fuera de campus asignado.</w:t>
      </w:r>
    </w:p>
    <w:p>
      <w:pPr>
        <w:pStyle w:val="Compact"/>
        <w:numPr>
          <w:ilvl w:val="0"/>
          <w:numId w:val="1011"/>
        </w:numPr>
      </w:pPr>
      <w:r>
        <w:t xml:space="preserve">Mitigacion: enforcement de scope por campus y prueba de acceso.</w:t>
      </w:r>
    </w:p>
    <w:p>
      <w:pPr>
        <w:pStyle w:val="Compact"/>
        <w:numPr>
          <w:ilvl w:val="0"/>
          <w:numId w:val="1012"/>
        </w:numPr>
      </w:pPr>
      <w:r>
        <w:t xml:space="preserve">Riesgo: baja trazabilidad en cambios de inventario.</w:t>
      </w:r>
    </w:p>
    <w:p>
      <w:pPr>
        <w:pStyle w:val="Compact"/>
        <w:numPr>
          <w:ilvl w:val="0"/>
          <w:numId w:val="1013"/>
        </w:numPr>
      </w:pPr>
      <w:r>
        <w:t xml:space="preserve">Mitigacion: uso obligatorio de bitacora de entrega/recepcion y responsiva.</w:t>
      </w:r>
    </w:p>
    <w:p>
      <w:pPr>
        <w:pStyle w:val="Compact"/>
        <w:numPr>
          <w:ilvl w:val="0"/>
          <w:numId w:val="1014"/>
        </w:numPr>
      </w:pPr>
      <w:r>
        <w:t xml:space="preserve">Riesgo: dependencia operativa de una sola cuenta privilegiada.</w:t>
      </w:r>
    </w:p>
    <w:p>
      <w:pPr>
        <w:pStyle w:val="Compact"/>
        <w:numPr>
          <w:ilvl w:val="0"/>
          <w:numId w:val="1015"/>
        </w:numPr>
      </w:pPr>
      <w:r>
        <w:t xml:space="preserve">Mitigacion: separar cuentas nominales y limitar admin global de contingencia.</w:t>
      </w:r>
    </w:p>
    <w:bookmarkEnd w:id="24"/>
    <w:bookmarkStart w:id="25" w:name="indicadores-directivos-sugeridos-kpi"/>
    <w:p>
      <w:pPr>
        <w:pStyle w:val="Heading2"/>
      </w:pPr>
      <w:r>
        <w:t xml:space="preserve">Indicadores directivos sugeridos (KPI)</w:t>
      </w:r>
    </w:p>
    <w:p>
      <w:pPr>
        <w:pStyle w:val="Compact"/>
        <w:numPr>
          <w:ilvl w:val="0"/>
          <w:numId w:val="1016"/>
        </w:numPr>
      </w:pPr>
      <w:r>
        <w:t xml:space="preserve">Porcentaje de usuarios con perfil correcto y alcance validado.</w:t>
      </w:r>
    </w:p>
    <w:p>
      <w:pPr>
        <w:pStyle w:val="Compact"/>
        <w:numPr>
          <w:ilvl w:val="0"/>
          <w:numId w:val="1016"/>
        </w:numPr>
      </w:pPr>
      <w:r>
        <w:t xml:space="preserve">Tiempo promedio de cierre de incidentes de monitoreo.</w:t>
      </w:r>
    </w:p>
    <w:p>
      <w:pPr>
        <w:pStyle w:val="Compact"/>
        <w:numPr>
          <w:ilvl w:val="0"/>
          <w:numId w:val="1016"/>
        </w:numPr>
      </w:pPr>
      <w:r>
        <w:t xml:space="preserve">Porcentaje de reasignaciones con evidencia completa.</w:t>
      </w:r>
    </w:p>
    <w:p>
      <w:pPr>
        <w:pStyle w:val="Compact"/>
        <w:numPr>
          <w:ilvl w:val="0"/>
          <w:numId w:val="1016"/>
        </w:numPr>
      </w:pPr>
      <w:r>
        <w:t xml:space="preserve">Numero de hallazgos de auditoria abiertos vs cerrados por periodo.</w:t>
      </w:r>
    </w:p>
    <w:p>
      <w:pPr>
        <w:pStyle w:val="Compact"/>
        <w:numPr>
          <w:ilvl w:val="0"/>
          <w:numId w:val="1016"/>
        </w:numPr>
      </w:pPr>
      <w:r>
        <w:t xml:space="preserve">Cobertura de nodos monitoreados por campus.</w:t>
      </w:r>
    </w:p>
    <w:bookmarkEnd w:id="25"/>
    <w:bookmarkStart w:id="26" w:name="acciones-recomendadas-30-60-dias"/>
    <w:p>
      <w:pPr>
        <w:pStyle w:val="Heading2"/>
      </w:pPr>
      <w:r>
        <w:t xml:space="preserve">Acciones recomendadas (30-60 dias)</w:t>
      </w:r>
    </w:p>
    <w:p>
      <w:pPr>
        <w:pStyle w:val="Compact"/>
        <w:numPr>
          <w:ilvl w:val="0"/>
          <w:numId w:val="1017"/>
        </w:numPr>
      </w:pPr>
      <w:r>
        <w:t xml:space="preserve">Establecer comite mensual de revision de accesos y scopes.</w:t>
      </w:r>
    </w:p>
    <w:p>
      <w:pPr>
        <w:pStyle w:val="Compact"/>
        <w:numPr>
          <w:ilvl w:val="0"/>
          <w:numId w:val="1017"/>
        </w:numPr>
      </w:pPr>
      <w:r>
        <w:t xml:space="preserve">Definir politica formal de reasignacion con evidencia minima obligatoria.</w:t>
      </w:r>
    </w:p>
    <w:p>
      <w:pPr>
        <w:pStyle w:val="Compact"/>
        <w:numPr>
          <w:ilvl w:val="0"/>
          <w:numId w:val="1017"/>
        </w:numPr>
      </w:pPr>
      <w:r>
        <w:t xml:space="preserve">Publicar tablero de KPI operativo y de auditoria.</w:t>
      </w:r>
    </w:p>
    <w:p>
      <w:pPr>
        <w:pStyle w:val="Compact"/>
        <w:numPr>
          <w:ilvl w:val="0"/>
          <w:numId w:val="1017"/>
        </w:numPr>
      </w:pPr>
      <w:r>
        <w:t xml:space="preserve">Ejecutar capacitacion trimestral por rol con evaluacion.</w:t>
      </w:r>
    </w:p>
    <w:bookmarkEnd w:id="26"/>
    <w:bookmarkStart w:id="27" w:name="mensaje-ejecutivo"/>
    <w:p>
      <w:pPr>
        <w:pStyle w:val="Heading2"/>
      </w:pPr>
      <w:r>
        <w:t xml:space="preserve">Mensaje ejecutivo</w:t>
      </w:r>
    </w:p>
    <w:p>
      <w:pPr>
        <w:pStyle w:val="FirstParagraph"/>
      </w:pPr>
      <w:r>
        <w:t xml:space="preserve">El modelo actual permite operar con segregacion de funciones y trazabilidad razonable. La prioridad para direccion debe centrarse en disciplina de permisos, evidencia de procesos e indicadores de cumplimiento para sostener escalabilidad y control.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2026-04-16T17:37:22Z</dcterms:created>
  <dcterms:modified xsi:type="dcterms:W3CDTF">2026-04-16T17:37:22Z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