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Insurance Details</w:t>
      </w:r>
    </w:p>
    <w:p>
      <w:pPr>
        <w:pStyle w:val="Heading2"/>
      </w:pPr>
      <w:r>
        <w:t>Policy Type</w:t>
      </w:r>
    </w:p>
    <w:p>
      <w:pPr>
        <w:pStyle w:val="Heading2"/>
      </w:pPr>
      <w:r>
        <w:t>Policy Number</w:t>
      </w:r>
    </w:p>
    <w:p>
      <w:pPr>
        <w:pStyle w:val="Heading2"/>
      </w:pPr>
      <w:r>
        <w:t>Insurer</w:t>
      </w:r>
    </w:p>
    <w:p>
      <w:pPr>
        <w:pStyle w:val="Heading2"/>
      </w:pPr>
      <w:r>
        <w:t>Coverage Amount</w:t>
      </w:r>
    </w:p>
    <w:p>
      <w:pPr>
        <w:pStyle w:val="Heading2"/>
      </w:pPr>
      <w:r>
        <w:t>Start Date</w:t>
      </w:r>
    </w:p>
    <w:p>
      <w:pPr>
        <w:pStyle w:val="Heading2"/>
      </w:pPr>
      <w:r>
        <w:t>End Date</w:t>
      </w:r>
    </w:p>
    <w:p>
      <w:pPr>
        <w:pStyle w:val="Heading2"/>
      </w:pPr>
      <w:r>
        <w:t>Public Liability</w:t>
      </w:r>
    </w:p>
    <w:p>
      <w:pPr>
        <w:pStyle w:val="Heading2"/>
      </w:pPr>
      <w:r>
        <w:t>Professional Indemnity</w:t>
      </w:r>
    </w:p>
    <w:p>
      <w:pPr>
        <w:pStyle w:val="Heading2"/>
      </w:pPr>
      <w:r>
        <w:t>Personal Accident / Income Protection</w:t>
      </w:r>
    </w:p>
    <w:p>
      <w:pPr>
        <w:pStyle w:val="Heading2"/>
      </w:pPr>
      <w:r>
        <w:t>Workers’ Compensation</w:t>
      </w:r>
    </w:p>
    <w:p>
      <w:r>
        <w:t>Record policy details for each type of insurance. Review coverage annually and update renewals.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