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Scheme 5: Pradhan Mantri Awas Yojana (PMAY)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(https://en.wikipedia.org/wiki/Pradhan_Mantri_Awas_Yojana)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enable improved living conditions and promote economic growth with a focus on people-centric urban planning and development. The scheme envisions a "Slum-Free India" where every citizen has access to essential civic infrastructure and social amenities.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Category: Housing, Urban Development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Overview: Pradhan Mantri Awas Yojana (PMAY) is an initiative aimed at providing affordable housing for all, targeting economically weaker sections and fostering inclusive urban development to support sustainable living.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To provide affordable, sustainable housing and improve urban infrastructure, working toward a “Slum-Free India” where citizens have better living conditions.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Subsidized Housing Loans: Offers interest subsidies to eligible low-income households to make home ownership more accessible.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Urban Development: Prioritizes essential amenities, sanitation, and environmentally friendly housing designs.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Ownership Empowerment: Supports housing ownership among economically weaker sections to encourage social stability.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Beneficiaries: Economically weaker sections, low-income and middle-income groups, and urban slum residents seeking better housing opportunities.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Implementation: The scheme is managed by the Ministry of Housing and Urban Affairs, with active participation from state governments and urban local bodies to facilitate housing projects.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Challenges: Urban land shortages and high construction expenses can present obstacles to the rapid development of affordable housing solutions.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Outcomes: PMAY raises living standards, energizes the housing market, and promotes structured urban growth to create organized, livable cities.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The scheme bolsters social inclusion, supports the creation of sustainable urban habitats, and drives economic growth within the housing sector, ensuring long-term benefits for urban residents.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2WUqBSkw579DlwCuDl7vIMQ+5g==">CgMxLjA4AHIhMTZ5WEgxc1FSQzdyVjZRbE01ZjdUODBBa2dDUU9zSy1P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