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Scheme-6(Girl child)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(https://en.wikipedia.org/wiki/Sukanya_Samriddhi_Account)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scheme under Beti Bachao Beti Padhao ensures that a girl child receives an equitable share in family resources and savings, addressing discrimination often faced in favor of male children.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Category: Girl Child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Overview: The Sukanya Samriddhi Account, part of the Beti Bachao Beti Padhao initiative, is a high-interest savings scheme designed to secure the future of the girl child and encourage families to save for her needs.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To financially empower the girl child and bridge the gender gap in family savings.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High-Interest Savings</w:t>
      </w:r>
      <w:r w:rsidDel="00000000" w:rsidR="00000000" w:rsidRPr="00000000">
        <w:rPr>
          <w:rtl w:val="0"/>
        </w:rPr>
        <w:t xml:space="preserve">: Government-backed, tax-free savings with an attractive interest rate on deposits.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Withdrawals for Education/Marriage</w:t>
      </w:r>
      <w:r w:rsidDel="00000000" w:rsidR="00000000" w:rsidRPr="00000000">
        <w:rPr>
          <w:rtl w:val="0"/>
        </w:rPr>
        <w:t xml:space="preserve">: Funds can be withdrawn for the girl’s higher education or marriage once she turns 18.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Long-Term Savings</w:t>
      </w:r>
      <w:r w:rsidDel="00000000" w:rsidR="00000000" w:rsidRPr="00000000">
        <w:rPr>
          <w:rtl w:val="0"/>
        </w:rPr>
        <w:t xml:space="preserve">: Motivates parents to consistently invest in their daughter's future, ensuring financial preparedness.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Beneficiaries: Girls under the age of 10, with accounts opened and maintained by parents or legal guardians.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Implementation: The scheme is managed through banks and post offices, providing an easy account setup process and yearly deposit requirements to maintain the account.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Challenges: In some regions, gender biases and low awareness can limit the scheme's reach and participation.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Outcomes: Promotes financial security for girls and encourages families to prioritize savings for their education and marriage.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Impact: The Sukanya Samriddhi Account supports gender equity, enhances the financial future of girls, and promotes a culture of savings in families to ensure a better future for the girl child.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FQNAfB7LSYAR6K5uLMi8C5HOg==">CgMxLjA4AHIhMUxSRzE4UF9hc19zRjh1TGd5dGtpOXRwb2xITmM3elJN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