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System Development and Implementation Proposal</w:t>
      </w:r>
    </w:p>
    <w:p>
      <w:pPr>
        <w:pStyle w:val="Subtitle"/>
      </w:pPr>
      <w:r>
        <w:t xml:space="preserve">GCGEA Membership, Loan and Benefits Management System (GCGEA MLBMS)</w:t>
      </w:r>
    </w:p>
    <w:p>
      <w:r>
        <w:t xml:space="preserve">Prepared for: [CLIENT / ORGANIZATION NAME]</w:t>
      </w:r>
    </w:p>
    <w:p>
      <w:r>
        <w:t xml:space="preserve">Prepared by: [SERVICE PROVIDER / DEVELOPER NAME]</w:t>
      </w:r>
    </w:p>
    <w:p>
      <w:r>
        <w:t xml:space="preserve">Proposal date: August 10, 2026</w:t>
      </w:r>
    </w:p>
    <w:p>
      <w:r>
        <w:t xml:space="preserve">Valid until: September 9, 2026</w:t>
      </w:r>
    </w:p>
    <w:p>
      <w:pPr>
        <w:pStyle w:val="Heading1"/>
      </w:pPr>
      <w:r>
        <w:t xml:space="preserve">1. Executive Summary</w:t>
      </w:r>
    </w:p>
    <w:p>
      <w:r>
        <w:t xml:space="preserve">This proposal covers the configuration, implementation, deployment, turnover, and initial support of the GCGEA Membership, Loan and Benefits Management System. The solution is a centralized, role-based web application for membership, contributions, loans, benefits, payroll deductions, financial transactions, approvals, and reports.</w:t>
      </w:r>
    </w:p>
    <w:p>
      <w:pPr>
        <w:pStyle w:val="Heading1"/>
      </w:pPr>
      <w:r>
        <w:t xml:space="preserve">2. Project Objectives</w:t>
      </w:r>
    </w:p>
    <w:p>
      <w:pPr>
        <w:numPr>
          <w:ilvl w:val="0"/>
          <w:numId w:val="1"/>
        </w:numPr>
      </w:pPr>
      <w:r>
        <w:t>Centralize member and transactional records.</w:t>
      </w:r>
    </w:p>
    <w:p>
      <w:pPr>
        <w:numPr>
          <w:ilvl w:val="0"/>
          <w:numId w:val="1"/>
        </w:numPr>
      </w:pPr>
      <w:r>
        <w:t>Automate calculations, validations, approvals, and document generation.</w:t>
      </w:r>
    </w:p>
    <w:p>
      <w:pPr>
        <w:numPr>
          <w:ilvl w:val="0"/>
          <w:numId w:val="1"/>
        </w:numPr>
      </w:pPr>
      <w:r>
        <w:t>Provide role-based access and complete audit trails.</w:t>
      </w:r>
    </w:p>
    <w:p>
      <w:pPr>
        <w:numPr>
          <w:ilvl w:val="0"/>
          <w:numId w:val="1"/>
        </w:numPr>
      </w:pPr>
      <w:r>
        <w:t>Improve reporting accuracy and accountability.</w:t>
      </w:r>
    </w:p>
    <w:p>
      <w:pPr>
        <w:numPr>
          <w:ilvl w:val="0"/>
          <w:numId w:val="1"/>
        </w:numPr>
      </w:pPr>
      <w:r>
        <w:t>Support continuity through backups and monitoring.</w:t>
      </w:r>
    </w:p>
    <w:p>
      <w:pPr>
        <w:pStyle w:val="Heading1"/>
      </w:pPr>
      <w:r>
        <w:t xml:space="preserve">3. Functional Scope</w:t>
      </w:r>
    </w:p>
    <w:p>
      <w:pPr>
        <w:numPr>
          <w:ilvl w:val="0"/>
          <w:numId w:val="1"/>
        </w:numPr>
      </w:pPr>
      <w:r>
        <w:t>Membership Management — registration, profiles, employment details, beneficiaries, documents, archives, and member import.</w:t>
      </w:r>
    </w:p>
    <w:p>
      <w:pPr>
        <w:numPr>
          <w:ilvl w:val="0"/>
          <w:numId w:val="1"/>
        </w:numPr>
      </w:pPr>
      <w:r>
        <w:t>Contribution Management — individual and bulk posting, payroll deductions, contribution funds, monthly dues, and history.</w:t>
      </w:r>
    </w:p>
    <w:p>
      <w:pPr>
        <w:numPr>
          <w:ilvl w:val="0"/>
          <w:numId w:val="1"/>
        </w:numPr>
      </w:pPr>
      <w:r>
        <w:t>Loan Management — applications, eligibility, approval workflow, release, payment schedules, collections, reloan, and statements.</w:t>
      </w:r>
    </w:p>
    <w:p>
      <w:pPr>
        <w:numPr>
          <w:ilvl w:val="0"/>
          <w:numId w:val="1"/>
        </w:numPr>
      </w:pPr>
      <w:r>
        <w:t>Benefits Management — applications, eligibility, approval, release, check preparation, benefit types, and member history.</w:t>
      </w:r>
    </w:p>
    <w:p>
      <w:pPr>
        <w:numPr>
          <w:ilvl w:val="0"/>
          <w:numId w:val="1"/>
        </w:numPr>
      </w:pPr>
      <w:r>
        <w:t>Payroll Deduction Management — spreadsheet import, validation, conflict resolution, manual/bulk entry, posting, and rollback history.</w:t>
      </w:r>
    </w:p>
    <w:p>
      <w:pPr>
        <w:numPr>
          <w:ilvl w:val="0"/>
          <w:numId w:val="1"/>
        </w:numPr>
      </w:pPr>
      <w:r>
        <w:t>Financial Management — annual budgets, disbursements, direct payments, cash flow monitoring, and financial statements.</w:t>
      </w:r>
    </w:p>
    <w:p>
      <w:pPr>
        <w:numPr>
          <w:ilvl w:val="0"/>
          <w:numId w:val="1"/>
        </w:numPr>
      </w:pPr>
      <w:r>
        <w:t>Reports and Exports — operational and financial reports with PDF, Excel, CSV, preview, and print-ready outputs.</w:t>
      </w:r>
    </w:p>
    <w:p>
      <w:pPr>
        <w:numPr>
          <w:ilvl w:val="0"/>
          <w:numId w:val="1"/>
        </w:numPr>
      </w:pPr>
      <w:r>
        <w:t>Administration and Governance — users, roles, permissions, approval workflows, audit logs, notifications, settings, and backups.</w:t>
      </w:r>
    </w:p>
    <w:p>
      <w:pPr>
        <w:pStyle w:val="Heading1"/>
      </w:pPr>
      <w:r>
        <w:t xml:space="preserve">4. Core Deliverables</w:t>
      </w:r>
    </w:p>
    <w:p>
      <w:pPr>
        <w:numPr>
          <w:ilvl w:val="0"/>
          <w:numId w:val="1"/>
        </w:numPr>
      </w:pPr>
      <w:r>
        <w:t>Configured production web application and Laravel backend API.</w:t>
      </w:r>
    </w:p>
    <w:p>
      <w:pPr>
        <w:numPr>
          <w:ilvl w:val="0"/>
          <w:numId w:val="1"/>
        </w:numPr>
      </w:pPr>
      <w:r>
        <w:t>Production database schema, initial configuration, and access-control setup.</w:t>
      </w:r>
    </w:p>
    <w:p>
      <w:pPr>
        <w:numPr>
          <w:ilvl w:val="0"/>
          <w:numId w:val="1"/>
        </w:numPr>
      </w:pPr>
      <w:r>
        <w:t>Deployment to the agreed server environment and domain configuration.</w:t>
      </w:r>
    </w:p>
    <w:p>
      <w:pPr>
        <w:numPr>
          <w:ilvl w:val="0"/>
          <w:numId w:val="1"/>
        </w:numPr>
      </w:pPr>
      <w:r>
        <w:t>Standard report templates and PDF/Excel export capability.</w:t>
      </w:r>
    </w:p>
    <w:p>
      <w:pPr>
        <w:numPr>
          <w:ilvl w:val="0"/>
          <w:numId w:val="1"/>
        </w:numPr>
      </w:pPr>
      <w:r>
        <w:t>Administrator orientation, key-user training, and turnover session.</w:t>
      </w:r>
    </w:p>
    <w:p>
      <w:pPr>
        <w:numPr>
          <w:ilvl w:val="0"/>
          <w:numId w:val="1"/>
        </w:numPr>
      </w:pPr>
      <w:r>
        <w:t>Basic user/administrator documentation and deployment notes.</w:t>
      </w:r>
    </w:p>
    <w:p>
      <w:pPr>
        <w:numPr>
          <w:ilvl w:val="0"/>
          <w:numId w:val="1"/>
        </w:numPr>
      </w:pPr>
      <w:r>
        <w:t>Ninety (90)-day defect warranty beginning from formal acceptance.</w:t>
      </w:r>
    </w:p>
    <w:p>
      <w:pPr>
        <w:pStyle w:val="Heading1"/>
      </w:pPr>
      <w:r>
        <w:t xml:space="preserve">5. Commercial Proposal</w:t>
      </w:r>
    </w:p>
    <w:p>
      <w:r>
        <w:t xml:space="preserve">System Development, Configuration, and Implementation — ₱310,000.00</w:t>
      </w:r>
    </w:p>
    <w:p>
      <w:r>
        <w:t xml:space="preserve">Server Infrastructure — Year 1 — ₱40,000.00</w:t>
      </w:r>
    </w:p>
    <w:p>
      <w:r>
        <w:t xml:space="preserve">Domain Registration — Year 1 — ₱1,500.00</w:t>
      </w:r>
    </w:p>
    <w:p>
      <w:r>
        <w:t xml:space="preserve">TOTAL INITIAL IMPLEMENTATION — ₱351,500.00</w:t>
      </w:r>
    </w:p>
    <w:p>
      <w:r>
        <w:t xml:space="preserve">Renewable Maintenance and Technical Assistance — ₱90,000.00 per year. The maintenance term begins after the included 90-day warranty.</w:t>
      </w:r>
    </w:p>
    <w:p>
      <w:pPr>
        <w:pStyle w:val="Heading1"/>
      </w:pPr>
      <w:r>
        <w:t xml:space="preserve">6. Warranty</w:t>
      </w:r>
    </w:p>
    <w:p>
      <w:r>
        <w:t xml:space="preserve">A 90-day warranty covers reproducible defects in delivered functions. New requirements, scope changes, data correction, third-party outages, and unauthorized modifications are excluded.</w:t>
      </w:r>
    </w:p>
    <w:p>
      <w:pPr>
        <w:pStyle w:val="Heading1"/>
      </w:pPr>
      <w:r>
        <w:t xml:space="preserve">7. Annual Maintenance and Technical Assistance</w:t>
      </w:r>
    </w:p>
    <w:p>
      <w:pPr>
        <w:numPr>
          <w:ilvl w:val="0"/>
          <w:numId w:val="1"/>
        </w:numPr>
      </w:pPr>
      <w:r>
        <w:t>Remote technical assistance during regular office hours.</w:t>
      </w:r>
    </w:p>
    <w:p>
      <w:pPr>
        <w:numPr>
          <w:ilvl w:val="0"/>
          <w:numId w:val="1"/>
        </w:numPr>
      </w:pPr>
      <w:r>
        <w:t>Correction of reproducible software defects and production issues.</w:t>
      </w:r>
    </w:p>
    <w:p>
      <w:pPr>
        <w:numPr>
          <w:ilvl w:val="0"/>
          <w:numId w:val="1"/>
        </w:numPr>
      </w:pPr>
      <w:r>
        <w:t>Application, dependency, and security updates compatible with the existing architecture.</w:t>
      </w:r>
    </w:p>
    <w:p>
      <w:pPr>
        <w:numPr>
          <w:ilvl w:val="0"/>
          <w:numId w:val="1"/>
        </w:numPr>
      </w:pPr>
      <w:r>
        <w:t>Server, database, storage, scheduled job, and backup health monitoring.</w:t>
      </w:r>
    </w:p>
    <w:p>
      <w:pPr>
        <w:numPr>
          <w:ilvl w:val="0"/>
          <w:numId w:val="1"/>
        </w:numPr>
      </w:pPr>
      <w:r>
        <w:t>Minor report, label, configuration, and user-interface adjustments.</w:t>
      </w:r>
    </w:p>
    <w:p>
      <w:pPr>
        <w:numPr>
          <w:ilvl w:val="0"/>
          <w:numId w:val="1"/>
        </w:numPr>
      </w:pPr>
      <w:r>
        <w:t>Deployment assistance and quarterly system health review.</w:t>
      </w:r>
    </w:p>
    <w:p>
      <w:pPr>
        <w:numPr>
          <w:ilvl w:val="0"/>
          <w:numId w:val="1"/>
        </w:numPr>
      </w:pPr>
      <w:r>
        <w:t>Up to eight (8) pooled technical-support hours per month.</w:t>
      </w:r>
    </w:p>
    <w:p>
      <w:pPr>
        <w:numPr>
          <w:ilvl w:val="0"/>
          <w:numId w:val="1"/>
        </w:numPr>
      </w:pPr>
      <w:r>
        <w:t>Critical incident response for verified system unavailability.</w:t>
      </w:r>
    </w:p>
    <w:p>
      <w:pPr>
        <w:pStyle w:val="Heading1"/>
      </w:pPr>
      <w:r>
        <w:t xml:space="preserve">8. Exclusions and Change Requests</w:t>
      </w:r>
    </w:p>
    <w:p>
      <w:pPr>
        <w:numPr>
          <w:ilvl w:val="0"/>
          <w:numId w:val="1"/>
        </w:numPr>
      </w:pPr>
      <w:r>
        <w:t>New major modules, extensive workflow redesign, mobile applications, and third-party integrations not stated in scope.</w:t>
      </w:r>
    </w:p>
    <w:p>
      <w:pPr>
        <w:numPr>
          <w:ilvl w:val="0"/>
          <w:numId w:val="1"/>
        </w:numPr>
      </w:pPr>
      <w:r>
        <w:t>Bulk data encoding, historical-record cleansing, or correction of inaccurate client-supplied data.</w:t>
      </w:r>
    </w:p>
    <w:p>
      <w:pPr>
        <w:numPr>
          <w:ilvl w:val="0"/>
          <w:numId w:val="1"/>
        </w:numPr>
      </w:pPr>
      <w:r>
        <w:t>Third-party subscriptions, SMS/email charges, hardware, internet service, and fees beyond the stated server/domain allocation.</w:t>
      </w:r>
    </w:p>
    <w:p>
      <w:pPr>
        <w:numPr>
          <w:ilvl w:val="0"/>
          <w:numId w:val="1"/>
        </w:numPr>
      </w:pPr>
      <w:r>
        <w:t>On-site services, travel, accommodation, and after-hours work unless separately authorized and quoted.</w:t>
      </w:r>
    </w:p>
    <w:p>
      <w:pPr>
        <w:numPr>
          <w:ilvl w:val="0"/>
          <w:numId w:val="1"/>
        </w:numPr>
      </w:pPr>
      <w:r>
        <w:t>Damage caused by unauthorized source-code/database changes, unsupported hosting modifications, malware, or credential sharing.</w:t>
      </w:r>
    </w:p>
    <w:p>
      <w:pPr>
        <w:pStyle w:val="Heading1"/>
      </w:pPr>
      <w:r>
        <w:t xml:space="preserve">9. Client Responsibilities</w:t>
      </w:r>
    </w:p>
    <w:p>
      <w:pPr>
        <w:numPr>
          <w:ilvl w:val="0"/>
          <w:numId w:val="1"/>
        </w:numPr>
      </w:pPr>
      <w:r>
        <w:t>Designate authorized project representatives and users for validation and acceptance.</w:t>
      </w:r>
    </w:p>
    <w:p>
      <w:pPr>
        <w:numPr>
          <w:ilvl w:val="0"/>
          <w:numId w:val="1"/>
        </w:numPr>
      </w:pPr>
      <w:r>
        <w:t>Provide accurate source data, policies, report samples, branding assets, and timely decisions.</w:t>
      </w:r>
    </w:p>
    <w:p>
      <w:pPr>
        <w:numPr>
          <w:ilvl w:val="0"/>
          <w:numId w:val="1"/>
        </w:numPr>
      </w:pPr>
      <w:r>
        <w:t>Review deliverables and submit consolidated feedback within agreed review periods.</w:t>
      </w:r>
    </w:p>
    <w:p>
      <w:pPr>
        <w:numPr>
          <w:ilvl w:val="0"/>
          <w:numId w:val="1"/>
        </w:numPr>
      </w:pPr>
      <w:r>
        <w:t>Maintain appropriate user-account practices and protect administrator credentials.</w:t>
      </w:r>
    </w:p>
    <w:p>
      <w:pPr>
        <w:numPr>
          <w:ilvl w:val="0"/>
          <w:numId w:val="1"/>
        </w:numPr>
      </w:pPr>
      <w:r>
        <w:t>Pay approved fees according to the agreed commercial terms and renewal schedule.</w:t>
      </w:r>
    </w:p>
    <w:p>
      <w:pPr>
        <w:pStyle w:val="Heading1"/>
      </w:pPr>
      <w:r>
        <w:t xml:space="preserve">10. Ownership, Confidentiality, and Data</w:t>
      </w:r>
    </w:p>
    <w:p>
      <w:r>
        <w:t xml:space="preserve">Client operational data remains the property of the client. Source-code ownership and reuse rights shall follow the final signed agreement. Both parties shall protect confidential records.</w:t>
      </w:r>
    </w:p>
    <w:p>
      <w:pPr>
        <w:pStyle w:val="Heading1"/>
      </w:pPr>
      <w:r>
        <w:t xml:space="preserve">11. Proposal Validity and Acceptance</w:t>
      </w:r>
    </w:p>
    <w:p>
      <w:r>
        <w:t xml:space="preserve">This proposal is valid until September 9, 2026. Final dates begin upon signed acceptance, notice to proceed, required payment, and receipt of project information.</w:t>
      </w:r>
    </w:p>
    <w:p>
      <w:r>
        <w:t xml:space="preserve">Prepared by: ______________________________   Date: ______________</w:t>
      </w:r>
    </w:p>
    <w:p>
      <w:r>
        <w:t xml:space="preserve">Accepted by: ______________________________   Date: ______________</w:t>
      </w:r>
    </w:p>
    <w:sectPr>
      <w:pgSz w:w="11906" w:h="16838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rPr>
      <w:rFonts w:ascii="Aptos" w:hAnsi="Aptos"/>
      <w:sz w:val="22"/>
    </w:rPr>
    <w:pPr>
      <w:spacing w:after="120"/>
    </w:pPr>
  </w:style>
  <w:style w:type="paragraph" w:styleId="Title">
    <w:rPr>
      <w:b/>
      <w:color w:val="153D72"/>
      <w:sz w:val="38"/>
    </w:rPr>
    <w:pPr>
      <w:jc w:val="center"/>
    </w:pPr>
  </w:style>
  <w:style w:type="paragraph" w:styleId="Subtitle">
    <w:rPr>
      <w:b/>
      <w:sz w:val="26"/>
    </w:rPr>
    <w:pPr>
      <w:jc w:val="center"/>
    </w:pPr>
  </w:style>
  <w:style w:type="paragraph" w:styleId="Heading1">
    <w:rPr>
      <w:b/>
      <w:color w:val="153D72"/>
      <w:sz w:val="28"/>
    </w:rPr>
    <w:pPr>
      <w:spacing w:before="28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