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E3EFB" w14:textId="45A6A63D" w:rsidR="002858B4" w:rsidRPr="00656E7C" w:rsidRDefault="00427ECB" w:rsidP="00656E7C">
      <w:pPr>
        <w:pStyle w:val="Title"/>
      </w:pPr>
      <w:r>
        <w:t xml:space="preserve">Road Traffic </w:t>
      </w:r>
      <w:r w:rsidR="002858B4" w:rsidRPr="00656E7C">
        <w:t>Injuries on</w:t>
      </w:r>
      <w:r w:rsidR="0023334C">
        <w:t xml:space="preserve"> Cycle Tracks:</w:t>
      </w:r>
      <w:r w:rsidR="002858B4" w:rsidRPr="00656E7C">
        <w:t xml:space="preserve"> Bloor, Danforth, University, and Yonge Street in Toronto, Ontario, Canada</w:t>
      </w:r>
      <w:r w:rsidR="00E21F55">
        <w:t xml:space="preserve"> from 2010 to 2022</w:t>
      </w:r>
    </w:p>
    <w:p w14:paraId="5DCEA008" w14:textId="77777777" w:rsidR="00C9492B" w:rsidRDefault="00C9492B" w:rsidP="00656E7C"/>
    <w:p w14:paraId="74E0DBEE" w14:textId="28EB1698" w:rsidR="002858B4" w:rsidRPr="00656E7C" w:rsidRDefault="002858B4" w:rsidP="00656E7C">
      <w:r w:rsidRPr="00656E7C">
        <w:t>Richard Wen, richard.wen@utoronto.ca</w:t>
      </w:r>
    </w:p>
    <w:p w14:paraId="2AF581DC" w14:textId="64ECC707" w:rsidR="00C15ECD" w:rsidRPr="00656E7C" w:rsidRDefault="002858B4" w:rsidP="00656E7C">
      <w:r w:rsidRPr="00656E7C">
        <w:t>December 1</w:t>
      </w:r>
      <w:r w:rsidR="00DF6DFA">
        <w:t>6</w:t>
      </w:r>
      <w:r w:rsidRPr="00656E7C">
        <w:t>, 2024</w:t>
      </w:r>
    </w:p>
    <w:p w14:paraId="7B80B930" w14:textId="77777777" w:rsidR="002858B4" w:rsidRPr="00656E7C" w:rsidRDefault="002858B4" w:rsidP="00656E7C"/>
    <w:p w14:paraId="6B2B4C5F" w14:textId="1C5AF19A" w:rsidR="00EE5A88" w:rsidRPr="00656E7C" w:rsidRDefault="00EE5A88" w:rsidP="00656E7C">
      <w:pPr>
        <w:pStyle w:val="Heading1"/>
      </w:pPr>
      <w:r w:rsidRPr="00656E7C">
        <w:t>Data</w:t>
      </w:r>
    </w:p>
    <w:p w14:paraId="7EF46E24" w14:textId="77777777" w:rsidR="00EE5A88" w:rsidRPr="00656E7C" w:rsidRDefault="00EE5A88" w:rsidP="00656E7C"/>
    <w:p w14:paraId="615D6578" w14:textId="3753ACCD" w:rsidR="00EE5A88" w:rsidRDefault="00EE5A88" w:rsidP="00656E7C">
      <w:r w:rsidRPr="00656E7C">
        <w:t xml:space="preserve">Collision data from 2010 to 2022 provided by the City of Toronto was used to calculate road user injuries for each street and cycling infrastructure type. </w:t>
      </w:r>
      <w:r w:rsidR="00656E7C" w:rsidRPr="00656E7C">
        <w:t>Open c</w:t>
      </w:r>
      <w:r w:rsidRPr="00656E7C">
        <w:t>ycling infrastructure data</w:t>
      </w:r>
      <w:r w:rsidR="003B63A3">
        <w:t xml:space="preserve"> from 2001 to 2022</w:t>
      </w:r>
      <w:r w:rsidR="00656E7C" w:rsidRPr="00656E7C">
        <w:t xml:space="preserve"> was downloaded from the City of Toronto’s Open Data Portal</w:t>
      </w:r>
      <w:r w:rsidR="00656E7C" w:rsidRPr="00341878">
        <w:rPr>
          <w:rStyle w:val="FootnoteReference"/>
        </w:rPr>
        <w:footnoteReference w:id="1"/>
      </w:r>
      <w:r w:rsidR="00983144">
        <w:t xml:space="preserve"> in January 2023</w:t>
      </w:r>
      <w:r w:rsidR="00500906">
        <w:t>. The cycling infrastructure data was</w:t>
      </w:r>
      <w:r w:rsidR="00983144">
        <w:t xml:space="preserve"> manually verified</w:t>
      </w:r>
      <w:r w:rsidR="00500906">
        <w:t>, using Google Street View, Google Earth, and grey literature from the internet,</w:t>
      </w:r>
      <w:r w:rsidR="00983144">
        <w:t xml:space="preserve"> for</w:t>
      </w:r>
      <w:r w:rsidR="00500906">
        <w:t xml:space="preserve"> years of installation and upgrades of</w:t>
      </w:r>
      <w:r w:rsidR="00983144">
        <w:t xml:space="preserve"> </w:t>
      </w:r>
      <w:r w:rsidR="00500906">
        <w:t>painted lane and cycle track infrastructure according to t</w:t>
      </w:r>
      <w:r w:rsidR="00500906" w:rsidRPr="00500906">
        <w:t>he Canadian Bikeway Comfort and Safety (Can-BICS) Classification System</w:t>
      </w:r>
      <w:r w:rsidR="00500906">
        <w:t xml:space="preserve"> </w:t>
      </w:r>
      <w:r w:rsidR="0082707A">
        <w:fldChar w:fldCharType="begin"/>
      </w:r>
      <w:r w:rsidR="00EF4ECE">
        <w:instrText xml:space="preserve"> ADDIN ZOTERO_ITEM CSL_CITATION {"citationID":"kzVUz3FZ","properties":{"formattedCitation":"(Rothman et al., 2024; Winters et al., 2022)","plainCitation":"(Rothman et al., 2024; Winters et al., 2022)","noteIndex":0},"citationItems":[{"id":3101,"uris":["http://zotero.org/users/6749620/items/PZYSXFMH"],"itemData":{"id":3101,"type":"document","publisher":"BMJ Publishing Group Ltd","source":"Google Scholar","title":"Pedaling forward: the evolution of bicycling infrastructure in 3 Canadian cities from 2010 to 2022","title-short":"330 Pedaling forward","URL":"https://injuryprevention.bmj.com/content/30/Suppl_1/A72.1.abstract","author":[{"family":"Rothman","given":"Linda"},{"family":"Samsel","given":"Konrad"},{"family":"Howard","given":"Andrew"},{"family":"Zanotto","given":"Moreno"},{"family":"Winters","given":"Meghan"},{"family":"Hagel","given":"Brent"},{"family":"Wen","given":"Richard"},{"family":"Batomen","given":"Brice"}],"accessed":{"date-parts":[["2024",11,30]]},"issued":{"date-parts":[["2024"]]},"citation-key":"rothmanPedalingForwardEvolution2024"}},{"id":2714,"uris":["http://zotero.org/users/6749620/items/ULGBEICE"],"itemData":{"id":2714,"type":"article-journal","container-title":"Health Reports","issue":"10","note":"publisher: Statistics Canada","page":"3–13","source":"Google Scholar","title":"The Canadian bikeway comfort and safety metrics (CAN-BICS): national measures of the bicycling environment for use in research and policy","title-short":"The canadian bikeway comfort and safety metrics (can-bics)","volume":"33","author":[{"family":"Winters","given":"Meghan"},{"family":"Beairsto","given":"Jeneva"},{"family":"Ferster","given":"Colin"},{"family":"Laberee","given":"Karen"},{"family":"Manaugh","given":"Kevin"},{"family":"Nelson","given":"Trisalyn"}],"issued":{"date-parts":[["2022"]]},"citation-key":"wintersCanadianBikewayComfort2022"}}],"schema":"https://github.com/citation-style-language/schema/raw/master/csl-citation.json"} </w:instrText>
      </w:r>
      <w:r w:rsidR="0082707A">
        <w:fldChar w:fldCharType="separate"/>
      </w:r>
      <w:r w:rsidR="00EF4ECE">
        <w:rPr>
          <w:noProof/>
        </w:rPr>
        <w:t>(Rothman et al., 2024; Winters et al., 2022)</w:t>
      </w:r>
      <w:r w:rsidR="0082707A">
        <w:fldChar w:fldCharType="end"/>
      </w:r>
      <w:r w:rsidRPr="00656E7C">
        <w:t>. City boundary data was</w:t>
      </w:r>
      <w:r w:rsidR="00656E7C" w:rsidRPr="00656E7C">
        <w:t xml:space="preserve"> also downloaded and</w:t>
      </w:r>
      <w:r w:rsidRPr="00656E7C">
        <w:t xml:space="preserve"> used to ensure that all collision location points were inside the City of Toronto.</w:t>
      </w:r>
      <w:r w:rsidR="001E0B6E">
        <w:t xml:space="preserve"> See </w:t>
      </w:r>
      <w:r w:rsidR="00E730C9">
        <w:fldChar w:fldCharType="begin"/>
      </w:r>
      <w:r w:rsidR="00E730C9">
        <w:instrText xml:space="preserve"> REF _Ref185031364 \h </w:instrText>
      </w:r>
      <w:r w:rsidR="00E730C9">
        <w:fldChar w:fldCharType="separate"/>
      </w:r>
      <w:r w:rsidR="00E730C9">
        <w:t xml:space="preserve">Table </w:t>
      </w:r>
      <w:r w:rsidR="00E730C9">
        <w:rPr>
          <w:noProof/>
        </w:rPr>
        <w:t>1</w:t>
      </w:r>
      <w:r w:rsidR="00E730C9">
        <w:fldChar w:fldCharType="end"/>
      </w:r>
      <w:r w:rsidR="001E0B6E">
        <w:t xml:space="preserve"> for a list of data sources and their purpose and time ranges.</w:t>
      </w:r>
    </w:p>
    <w:p w14:paraId="243C913F" w14:textId="77777777" w:rsidR="00BE0D98" w:rsidRDefault="00BE0D98" w:rsidP="00656E7C"/>
    <w:p w14:paraId="0DC73077" w14:textId="6ED4144E" w:rsidR="001C2C1F" w:rsidRDefault="001C2C1F" w:rsidP="001C2C1F">
      <w:pPr>
        <w:pStyle w:val="Caption"/>
        <w:keepNext/>
      </w:pPr>
      <w:bookmarkStart w:id="0" w:name="_Ref185031364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0"/>
      <w:r>
        <w:t>. Data Sources</w:t>
      </w:r>
      <w:r w:rsidR="00330A6E">
        <w:t xml:space="preserve"> for the City of Toronto</w:t>
      </w:r>
      <w:r w:rsidR="00DB08E6">
        <w:t>.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984"/>
        <w:gridCol w:w="2127"/>
        <w:gridCol w:w="1559"/>
        <w:gridCol w:w="3690"/>
      </w:tblGrid>
      <w:tr w:rsidR="00C80967" w14:paraId="4936CFC0" w14:textId="77777777" w:rsidTr="00B10FCD">
        <w:tc>
          <w:tcPr>
            <w:tcW w:w="1060" w:type="pct"/>
            <w:tcBorders>
              <w:top w:val="single" w:sz="4" w:space="0" w:color="auto"/>
              <w:bottom w:val="single" w:sz="4" w:space="0" w:color="auto"/>
            </w:tcBorders>
          </w:tcPr>
          <w:p w14:paraId="7FB0F7B6" w14:textId="4608BE4B" w:rsidR="00C80967" w:rsidRPr="00B10FCD" w:rsidRDefault="00C80967" w:rsidP="00656E7C">
            <w:pPr>
              <w:rPr>
                <w:b/>
                <w:bCs/>
                <w:sz w:val="22"/>
                <w:szCs w:val="22"/>
              </w:rPr>
            </w:pPr>
            <w:r w:rsidRPr="00B10FCD">
              <w:rPr>
                <w:b/>
                <w:bCs/>
                <w:sz w:val="22"/>
                <w:szCs w:val="22"/>
              </w:rPr>
              <w:t>Data Source</w:t>
            </w:r>
          </w:p>
        </w:tc>
        <w:tc>
          <w:tcPr>
            <w:tcW w:w="1136" w:type="pct"/>
            <w:tcBorders>
              <w:top w:val="single" w:sz="4" w:space="0" w:color="auto"/>
              <w:bottom w:val="single" w:sz="4" w:space="0" w:color="auto"/>
            </w:tcBorders>
          </w:tcPr>
          <w:p w14:paraId="01328D84" w14:textId="7354826E" w:rsidR="00C80967" w:rsidRPr="00B10FCD" w:rsidRDefault="00C80967" w:rsidP="00656E7C">
            <w:pPr>
              <w:rPr>
                <w:b/>
                <w:bCs/>
                <w:sz w:val="22"/>
                <w:szCs w:val="22"/>
              </w:rPr>
            </w:pPr>
            <w:r w:rsidRPr="00B10FCD">
              <w:rPr>
                <w:b/>
                <w:bCs/>
                <w:sz w:val="22"/>
                <w:szCs w:val="22"/>
              </w:rPr>
              <w:t>Records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14:paraId="431BFA80" w14:textId="6421D699" w:rsidR="00C80967" w:rsidRPr="00B10FCD" w:rsidRDefault="00C80967" w:rsidP="00656E7C">
            <w:pPr>
              <w:rPr>
                <w:b/>
                <w:bCs/>
                <w:sz w:val="22"/>
                <w:szCs w:val="22"/>
              </w:rPr>
            </w:pPr>
            <w:r w:rsidRPr="00B10FCD">
              <w:rPr>
                <w:b/>
                <w:bCs/>
                <w:sz w:val="22"/>
                <w:szCs w:val="22"/>
              </w:rPr>
              <w:t>Time Range</w:t>
            </w:r>
          </w:p>
        </w:tc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</w:tcPr>
          <w:p w14:paraId="16F17C36" w14:textId="212A28CD" w:rsidR="00C80967" w:rsidRPr="00B10FCD" w:rsidRDefault="00C80967" w:rsidP="00656E7C">
            <w:pPr>
              <w:rPr>
                <w:b/>
                <w:bCs/>
                <w:sz w:val="22"/>
                <w:szCs w:val="22"/>
              </w:rPr>
            </w:pPr>
            <w:r w:rsidRPr="00B10FCD">
              <w:rPr>
                <w:b/>
                <w:bCs/>
                <w:sz w:val="22"/>
                <w:szCs w:val="22"/>
              </w:rPr>
              <w:t>Link</w:t>
            </w:r>
          </w:p>
        </w:tc>
      </w:tr>
      <w:tr w:rsidR="00C80967" w14:paraId="7E411964" w14:textId="77777777" w:rsidTr="00B10FCD">
        <w:tc>
          <w:tcPr>
            <w:tcW w:w="1060" w:type="pct"/>
            <w:tcBorders>
              <w:top w:val="single" w:sz="4" w:space="0" w:color="auto"/>
            </w:tcBorders>
          </w:tcPr>
          <w:p w14:paraId="56CCD210" w14:textId="4A5ECD28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All Collisions</w:t>
            </w:r>
          </w:p>
        </w:tc>
        <w:tc>
          <w:tcPr>
            <w:tcW w:w="1136" w:type="pct"/>
            <w:tcBorders>
              <w:top w:val="single" w:sz="4" w:space="0" w:color="auto"/>
            </w:tcBorders>
          </w:tcPr>
          <w:p w14:paraId="4048B6DD" w14:textId="62AA3DA1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1,355,219 collisions</w:t>
            </w: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0AA39D70" w14:textId="401D1B3D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2010-2022</w:t>
            </w:r>
          </w:p>
        </w:tc>
        <w:tc>
          <w:tcPr>
            <w:tcW w:w="1971" w:type="pct"/>
            <w:tcBorders>
              <w:top w:val="single" w:sz="4" w:space="0" w:color="auto"/>
            </w:tcBorders>
          </w:tcPr>
          <w:p w14:paraId="1C121F22" w14:textId="715FD542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N/A</w:t>
            </w:r>
          </w:p>
        </w:tc>
      </w:tr>
      <w:tr w:rsidR="00C80967" w14:paraId="52318948" w14:textId="77777777" w:rsidTr="00B10FCD">
        <w:tc>
          <w:tcPr>
            <w:tcW w:w="1060" w:type="pct"/>
          </w:tcPr>
          <w:p w14:paraId="2277FA74" w14:textId="379BA0BF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Cycling Network</w:t>
            </w:r>
          </w:p>
        </w:tc>
        <w:tc>
          <w:tcPr>
            <w:tcW w:w="1136" w:type="pct"/>
          </w:tcPr>
          <w:p w14:paraId="3F55C7E8" w14:textId="3BE44DF2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1,323 road segments</w:t>
            </w:r>
          </w:p>
        </w:tc>
        <w:tc>
          <w:tcPr>
            <w:tcW w:w="833" w:type="pct"/>
          </w:tcPr>
          <w:p w14:paraId="6FD007FC" w14:textId="46012F9B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2001-2022</w:t>
            </w:r>
          </w:p>
        </w:tc>
        <w:tc>
          <w:tcPr>
            <w:tcW w:w="1971" w:type="pct"/>
          </w:tcPr>
          <w:p w14:paraId="19C5BEB3" w14:textId="21E11EC3" w:rsidR="00C80967" w:rsidRPr="00B10FCD" w:rsidRDefault="00C80967" w:rsidP="00656E7C">
            <w:pPr>
              <w:rPr>
                <w:sz w:val="22"/>
                <w:szCs w:val="22"/>
              </w:rPr>
            </w:pPr>
            <w:hyperlink r:id="rId7" w:history="1">
              <w:r w:rsidRPr="00B10FCD">
                <w:rPr>
                  <w:rStyle w:val="Hyperlink"/>
                  <w:sz w:val="22"/>
                  <w:szCs w:val="22"/>
                </w:rPr>
                <w:t>https://github.com/rrwen/recovr-infracycle/blob/main/data/toronto-bikeways-preprocess-v3.geojson</w:t>
              </w:r>
            </w:hyperlink>
          </w:p>
        </w:tc>
      </w:tr>
      <w:tr w:rsidR="00C80967" w14:paraId="6FEA8773" w14:textId="77777777" w:rsidTr="00B10FCD">
        <w:tc>
          <w:tcPr>
            <w:tcW w:w="1060" w:type="pct"/>
          </w:tcPr>
          <w:p w14:paraId="516C6818" w14:textId="4A5017D3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City Boundary</w:t>
            </w:r>
          </w:p>
        </w:tc>
        <w:tc>
          <w:tcPr>
            <w:tcW w:w="1136" w:type="pct"/>
          </w:tcPr>
          <w:p w14:paraId="156C2C8C" w14:textId="50BCBC14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1 city boundary</w:t>
            </w:r>
          </w:p>
        </w:tc>
        <w:tc>
          <w:tcPr>
            <w:tcW w:w="833" w:type="pct"/>
          </w:tcPr>
          <w:p w14:paraId="46E251DC" w14:textId="49B8A0BF" w:rsidR="00C80967" w:rsidRPr="00B10FCD" w:rsidRDefault="00C80967" w:rsidP="00656E7C">
            <w:pPr>
              <w:rPr>
                <w:sz w:val="22"/>
                <w:szCs w:val="22"/>
              </w:rPr>
            </w:pPr>
            <w:r w:rsidRPr="00B10FCD">
              <w:rPr>
                <w:sz w:val="22"/>
                <w:szCs w:val="22"/>
              </w:rPr>
              <w:t>2019</w:t>
            </w:r>
          </w:p>
        </w:tc>
        <w:tc>
          <w:tcPr>
            <w:tcW w:w="1971" w:type="pct"/>
          </w:tcPr>
          <w:p w14:paraId="75EBBE25" w14:textId="0BDBD871" w:rsidR="00C80967" w:rsidRPr="00B10FCD" w:rsidRDefault="00C80967" w:rsidP="00656E7C">
            <w:pPr>
              <w:rPr>
                <w:sz w:val="22"/>
                <w:szCs w:val="22"/>
              </w:rPr>
            </w:pPr>
            <w:hyperlink r:id="rId8" w:history="1">
              <w:r w:rsidRPr="00B10FCD">
                <w:rPr>
                  <w:rStyle w:val="Hyperlink"/>
                  <w:sz w:val="22"/>
                  <w:szCs w:val="22"/>
                </w:rPr>
                <w:t>https://open.toronto.ca/dataset/regional-municipal-boundary/</w:t>
              </w:r>
            </w:hyperlink>
          </w:p>
        </w:tc>
      </w:tr>
    </w:tbl>
    <w:p w14:paraId="1584799C" w14:textId="77777777" w:rsidR="00BE0D98" w:rsidRPr="00656E7C" w:rsidRDefault="00BE0D98" w:rsidP="00656E7C"/>
    <w:p w14:paraId="4A5FF67C" w14:textId="77777777" w:rsidR="00EE5A88" w:rsidRPr="00656E7C" w:rsidRDefault="00EE5A88" w:rsidP="00656E7C"/>
    <w:p w14:paraId="7EDD9257" w14:textId="4F0270FE" w:rsidR="002858B4" w:rsidRPr="00656E7C" w:rsidRDefault="0085254C" w:rsidP="00656E7C">
      <w:pPr>
        <w:pStyle w:val="Heading1"/>
      </w:pPr>
      <w:r w:rsidRPr="00656E7C">
        <w:t>Methodology</w:t>
      </w:r>
    </w:p>
    <w:p w14:paraId="71B18AA5" w14:textId="77777777" w:rsidR="00EE5A88" w:rsidRPr="00656E7C" w:rsidRDefault="00EE5A88" w:rsidP="00656E7C"/>
    <w:p w14:paraId="536E5C7D" w14:textId="4E6C9354" w:rsidR="0082707A" w:rsidRDefault="00500906" w:rsidP="00656E7C">
      <w:r>
        <w:t xml:space="preserve">The methodology consists of </w:t>
      </w:r>
      <w:r w:rsidR="006933B3">
        <w:t xml:space="preserve">three </w:t>
      </w:r>
      <w:r>
        <w:t>steps involving</w:t>
      </w:r>
      <w:r w:rsidR="006933B3">
        <w:t xml:space="preserve"> data cleaning,</w:t>
      </w:r>
      <w:r>
        <w:t xml:space="preserve"> </w:t>
      </w:r>
      <w:r w:rsidR="006933B3">
        <w:t xml:space="preserve">spatial </w:t>
      </w:r>
      <w:r>
        <w:t>data processin</w:t>
      </w:r>
      <w:r w:rsidR="006933B3">
        <w:t xml:space="preserve">g, and </w:t>
      </w:r>
      <w:r>
        <w:t>injury rate calculations</w:t>
      </w:r>
      <w:r w:rsidR="0080689B">
        <w:t xml:space="preserve"> shown in </w:t>
      </w:r>
      <w:r w:rsidR="0080689B">
        <w:fldChar w:fldCharType="begin"/>
      </w:r>
      <w:r w:rsidR="0080689B">
        <w:instrText xml:space="preserve"> REF _Ref185038691 \h </w:instrText>
      </w:r>
      <w:r w:rsidR="0080689B">
        <w:fldChar w:fldCharType="separate"/>
      </w:r>
      <w:r w:rsidR="0080689B">
        <w:t xml:space="preserve">Figure </w:t>
      </w:r>
      <w:r w:rsidR="0080689B">
        <w:rPr>
          <w:noProof/>
        </w:rPr>
        <w:t>1</w:t>
      </w:r>
      <w:r w:rsidR="0080689B">
        <w:fldChar w:fldCharType="end"/>
      </w:r>
      <w:r>
        <w:t xml:space="preserve">. The </w:t>
      </w:r>
      <w:r w:rsidR="00363B06">
        <w:t xml:space="preserve">first step involves </w:t>
      </w:r>
      <w:r>
        <w:t xml:space="preserve">data </w:t>
      </w:r>
      <w:r w:rsidR="00F02E70">
        <w:t>cleaning</w:t>
      </w:r>
      <w:r w:rsidR="00363B06">
        <w:t xml:space="preserve"> to</w:t>
      </w:r>
      <w:r>
        <w:t xml:space="preserve"> </w:t>
      </w:r>
      <w:r w:rsidR="00F02E70">
        <w:t xml:space="preserve">filter </w:t>
      </w:r>
      <w:r w:rsidR="000E0B13">
        <w:t>1,323 road segments in the cycling network data</w:t>
      </w:r>
      <w:r w:rsidR="00F02E70">
        <w:t xml:space="preserve"> to </w:t>
      </w:r>
      <w:r w:rsidR="00965634">
        <w:t xml:space="preserve">16 road segments containing </w:t>
      </w:r>
      <w:r w:rsidR="00F02E70">
        <w:t xml:space="preserve">cycle tracks that existed </w:t>
      </w:r>
      <w:r w:rsidR="00DE0B0D">
        <w:t xml:space="preserve">between 2010 and 2022 </w:t>
      </w:r>
      <w:r w:rsidR="00E145B0">
        <w:t>at Bloor Street, Danforth Street, Danforth Avenue, University Avenue, or Yonge Street</w:t>
      </w:r>
      <w:r w:rsidR="000E0B13">
        <w:t>.</w:t>
      </w:r>
      <w:r w:rsidR="00F40C12">
        <w:t xml:space="preserve"> Note that the filtered cycle tracks also contain cycling infrastructure changes throughout 2001 to 2022, such that they may have been upgraded to a cycle track from a road without cycling infrastructure or a road with painted lane infrastructure, during any of these years.</w:t>
      </w:r>
      <w:r w:rsidR="000E0B13">
        <w:t xml:space="preserve"> The first step</w:t>
      </w:r>
      <w:r w:rsidR="00965634">
        <w:t xml:space="preserve"> also</w:t>
      </w:r>
      <w:r w:rsidR="000E0B13">
        <w:t xml:space="preserve"> filters</w:t>
      </w:r>
      <w:r w:rsidR="00E145B0">
        <w:t xml:space="preserve"> </w:t>
      </w:r>
      <w:r w:rsidR="006F3426">
        <w:t xml:space="preserve">the original </w:t>
      </w:r>
      <w:r w:rsidR="006F3426" w:rsidRPr="006F3426">
        <w:t>1,355,219</w:t>
      </w:r>
      <w:r w:rsidR="006F3426">
        <w:rPr>
          <w:sz w:val="22"/>
          <w:szCs w:val="22"/>
        </w:rPr>
        <w:t xml:space="preserve"> </w:t>
      </w:r>
      <w:r w:rsidR="00E145B0">
        <w:t>collisions</w:t>
      </w:r>
      <w:r w:rsidR="000E0B13">
        <w:t xml:space="preserve"> to </w:t>
      </w:r>
      <w:r w:rsidR="006F3426" w:rsidRPr="006F3426">
        <w:t>170</w:t>
      </w:r>
      <w:r w:rsidR="006F3426">
        <w:t>,</w:t>
      </w:r>
      <w:r w:rsidR="006F3426" w:rsidRPr="006F3426">
        <w:t>462</w:t>
      </w:r>
      <w:r w:rsidR="006F3426">
        <w:t xml:space="preserve"> collisions</w:t>
      </w:r>
      <w:r w:rsidR="00A477E8">
        <w:t xml:space="preserve"> with coordinates in </w:t>
      </w:r>
      <w:r w:rsidR="00C02BFF">
        <w:t>Toronto and</w:t>
      </w:r>
      <w:r w:rsidR="00A477E8">
        <w:t xml:space="preserve"> only </w:t>
      </w:r>
      <w:r w:rsidR="00594756">
        <w:t>involving</w:t>
      </w:r>
      <w:r w:rsidR="00E145B0">
        <w:t xml:space="preserve"> injur</w:t>
      </w:r>
      <w:r w:rsidR="006F3426">
        <w:t>ed individuals</w:t>
      </w:r>
      <w:r w:rsidR="00E145B0">
        <w:t xml:space="preserve"> (minimal, minor, major, and fatal)</w:t>
      </w:r>
      <w:r w:rsidR="000E0B13">
        <w:t>, while</w:t>
      </w:r>
      <w:r w:rsidR="00E145B0">
        <w:t xml:space="preserve"> classifying th</w:t>
      </w:r>
      <w:r w:rsidR="00284AB2">
        <w:t>ese injuries</w:t>
      </w:r>
      <w:r w:rsidR="00E145B0">
        <w:t xml:space="preserve"> as driver-related (drivers and vehicle passengers), cyclist-related (cyclists and cycling passengers), and pedestrian-related.</w:t>
      </w:r>
      <w:r w:rsidR="00363B06">
        <w:t xml:space="preserve"> The next step uses spatial data </w:t>
      </w:r>
      <w:r w:rsidR="00363B06">
        <w:lastRenderedPageBreak/>
        <w:t xml:space="preserve">processing to join </w:t>
      </w:r>
      <w:r w:rsidR="00C80851">
        <w:t xml:space="preserve">170,462 </w:t>
      </w:r>
      <w:r w:rsidR="00363B06">
        <w:t>collisions to the filtered cycle track infrastructure if the collision coordinates are within 25 meters of the cycle tracks</w:t>
      </w:r>
      <w:r w:rsidR="00C80851">
        <w:t>, resulting in 5,504 collision coordinates within 25 meters of the cycle tracks</w:t>
      </w:r>
      <w:r w:rsidR="00363B06">
        <w:t>.</w:t>
      </w:r>
      <w:r w:rsidR="00DE0B0D">
        <w:t xml:space="preserve"> Once the collisions are joined to the cycle tracks, </w:t>
      </w:r>
      <w:r w:rsidR="005A640F">
        <w:t>the third step counts the number of injuries by road user, year, and cycling infrastructure type</w:t>
      </w:r>
      <w:r w:rsidR="00697FD9">
        <w:t>s through 2010 to 2022</w:t>
      </w:r>
      <w:r w:rsidR="005A640F">
        <w:t xml:space="preserve"> using the joined collisions.</w:t>
      </w:r>
      <w:r w:rsidR="00C9658E">
        <w:t xml:space="preserve"> These counts are then used to compute the road user injury rate per </w:t>
      </w:r>
      <w:r w:rsidR="00803505">
        <w:t>kilometer-year</w:t>
      </w:r>
      <w:r w:rsidR="00C9658E">
        <w:t xml:space="preserve"> for the streets of Bloor Street, Danforth Street/Avenue, University Avenue, and Yonge Street. Danforth Street and Danforth Avenue are treated as a single street for the purpose of these calculations.</w:t>
      </w:r>
      <w:r w:rsidR="009362DD">
        <w:t xml:space="preserve"> The road user injur</w:t>
      </w:r>
      <w:r w:rsidR="005952BD">
        <w:t xml:space="preserve">ies </w:t>
      </w:r>
      <w:r w:rsidR="009362DD">
        <w:t xml:space="preserve">per </w:t>
      </w:r>
      <w:r w:rsidR="004672FB">
        <w:t>kilometer-year</w:t>
      </w:r>
      <w:r w:rsidR="009362DD">
        <w:t xml:space="preserve"> for a street and cycling infrastructure type is calculated with Equation </w:t>
      </w:r>
      <w:r w:rsidR="00A322D9">
        <w:t>1</w:t>
      </w:r>
      <w:r w:rsidR="009362DD">
        <w:t>:</w:t>
      </w:r>
    </w:p>
    <w:p w14:paraId="48E023C7" w14:textId="77777777" w:rsidR="009362DD" w:rsidRDefault="009362DD" w:rsidP="00656E7C"/>
    <w:p w14:paraId="1DADAF56" w14:textId="2709035C" w:rsidR="009362DD" w:rsidRPr="008E0295" w:rsidRDefault="00E21177" w:rsidP="00E21177">
      <w:pPr>
        <w:pStyle w:val="Caption"/>
        <w:ind w:left="2880"/>
        <w:rPr>
          <w:rFonts w:eastAsiaTheme="minorEastAsia"/>
          <w:i w:val="0"/>
        </w:rPr>
      </w:pPr>
      <m:oMath>
        <m:r>
          <w:rPr>
            <w:rFonts w:ascii="Cambria Math" w:hAnsi="Cambria Math"/>
            <w:sz w:val="24"/>
            <w:szCs w:val="24"/>
          </w:rPr>
          <m:t>Rat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street,type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Cs w:val="0"/>
                        <w:color w:val="auto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,j</m:t>
                        </m:r>
                      </m:sub>
                    </m:sSub>
                  </m:e>
                </m:nary>
              </m:e>
            </m:nary>
            <m:ctrlPr>
              <w:rPr>
                <w:rFonts w:ascii="Cambria Math" w:hAnsi="Cambria Math"/>
                <w:i w:val="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i,j</m:t>
                </m:r>
              </m:sub>
            </m:sSub>
            <m:ctrlPr>
              <w:rPr>
                <w:rFonts w:ascii="Cambria Math" w:hAnsi="Cambria Math"/>
                <w:i w:val="0"/>
                <w:sz w:val="24"/>
                <w:szCs w:val="24"/>
              </w:rPr>
            </m:ctrlPr>
          </m:den>
        </m:f>
      </m:oMath>
      <w:r w:rsidR="00410BB2">
        <w:rPr>
          <w:rFonts w:eastAsiaTheme="minorEastAsia"/>
        </w:rPr>
        <w:tab/>
      </w:r>
      <w:r w:rsidR="00410BB2">
        <w:rPr>
          <w:rFonts w:eastAsiaTheme="minorEastAsia"/>
        </w:rPr>
        <w:tab/>
      </w:r>
      <w:r w:rsidR="00410BB2">
        <w:rPr>
          <w:rFonts w:eastAsiaTheme="minorEastAsia"/>
        </w:rPr>
        <w:tab/>
      </w:r>
      <w:r w:rsidR="00410BB2">
        <w:rPr>
          <w:rFonts w:eastAsiaTheme="minorEastAsia"/>
        </w:rPr>
        <w:tab/>
      </w:r>
      <w:r w:rsidR="00E00AD6">
        <w:rPr>
          <w:rFonts w:eastAsiaTheme="minorEastAsia"/>
        </w:rPr>
        <w:t xml:space="preserve">           </w:t>
      </w:r>
      <w:r w:rsidR="00410BB2">
        <w:rPr>
          <w:rFonts w:eastAsiaTheme="minorEastAsia"/>
        </w:rPr>
        <w:t>(</w:t>
      </w:r>
      <w:r w:rsidR="00E00AD6">
        <w:rPr>
          <w:rFonts w:eastAsiaTheme="minorEastAsia"/>
        </w:rPr>
        <w:fldChar w:fldCharType="begin"/>
      </w:r>
      <w:r w:rsidR="00E00AD6">
        <w:rPr>
          <w:rFonts w:eastAsiaTheme="minorEastAsia"/>
        </w:rPr>
        <w:instrText xml:space="preserve"> SEQ Equation \* ARABIC </w:instrText>
      </w:r>
      <w:r w:rsidR="00E00AD6">
        <w:rPr>
          <w:rFonts w:eastAsiaTheme="minorEastAsia"/>
        </w:rPr>
        <w:fldChar w:fldCharType="separate"/>
      </w:r>
      <w:r w:rsidR="00E00AD6">
        <w:rPr>
          <w:rFonts w:eastAsiaTheme="minorEastAsia"/>
          <w:noProof/>
        </w:rPr>
        <w:t>1</w:t>
      </w:r>
      <w:r w:rsidR="00E00AD6">
        <w:rPr>
          <w:rFonts w:eastAsiaTheme="minorEastAsia"/>
        </w:rPr>
        <w:fldChar w:fldCharType="end"/>
      </w:r>
      <w:r w:rsidR="00410BB2">
        <w:rPr>
          <w:rFonts w:eastAsiaTheme="minorEastAsia"/>
        </w:rPr>
        <w:t>)</w:t>
      </w:r>
    </w:p>
    <w:p w14:paraId="16086F88" w14:textId="32AE5895" w:rsidR="005952BD" w:rsidRPr="00174439" w:rsidRDefault="00965669" w:rsidP="005952BD">
      <w:pPr>
        <w:rPr>
          <w:rFonts w:eastAsiaTheme="minorEastAsia"/>
        </w:rPr>
      </w:pPr>
      <w:r>
        <w:rPr>
          <w:rFonts w:eastAsiaTheme="minorEastAsia"/>
        </w:rPr>
        <w:t>w</w:t>
      </w:r>
      <w:r w:rsidR="00A322D9">
        <w:rPr>
          <w:rFonts w:eastAsiaTheme="minorEastAsia"/>
        </w:rPr>
        <w:t>here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Rat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street,type</m:t>
            </m:r>
          </m:sub>
        </m:sSub>
      </m:oMath>
      <w:r w:rsidR="00DB54D9">
        <w:rPr>
          <w:rFonts w:eastAsiaTheme="minorEastAsia"/>
        </w:rPr>
        <w:t xml:space="preserve"> is </w:t>
      </w:r>
      <w:r w:rsidR="005952BD">
        <w:rPr>
          <w:rFonts w:eastAsiaTheme="minorEastAsia"/>
        </w:rPr>
        <w:t>the</w:t>
      </w:r>
      <w:r w:rsidR="004672FB">
        <w:rPr>
          <w:rFonts w:eastAsiaTheme="minorEastAsia"/>
        </w:rPr>
        <w:t xml:space="preserve"> road user</w:t>
      </w:r>
      <w:r w:rsidR="005952BD">
        <w:rPr>
          <w:rFonts w:eastAsiaTheme="minorEastAsia"/>
        </w:rPr>
        <w:t xml:space="preserve"> injuries per </w:t>
      </w:r>
      <w:r w:rsidR="0081447D">
        <w:rPr>
          <w:rFonts w:eastAsiaTheme="minorEastAsia"/>
        </w:rPr>
        <w:t>kilometer-year</w:t>
      </w:r>
      <w:r w:rsidR="005952BD">
        <w:rPr>
          <w:rFonts w:eastAsiaTheme="minorEastAsia"/>
        </w:rPr>
        <w:t xml:space="preserve"> for a street an</w:t>
      </w:r>
      <w:r w:rsidR="004672FB">
        <w:rPr>
          <w:rFonts w:eastAsiaTheme="minorEastAsia"/>
        </w:rPr>
        <w:t xml:space="preserve">d </w:t>
      </w:r>
      <w:r w:rsidR="005952BD">
        <w:rPr>
          <w:rFonts w:eastAsiaTheme="minorEastAsia"/>
        </w:rPr>
        <w:t>cycling infrastructure type,</w:t>
      </w:r>
      <w:r w:rsidR="003742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374247">
        <w:rPr>
          <w:rFonts w:eastAsiaTheme="minorEastAsia"/>
        </w:rPr>
        <w:t xml:space="preserve"> is the number of years in the data, </w:t>
      </w:r>
      <m:oMath>
        <m:r>
          <w:rPr>
            <w:rFonts w:ascii="Cambria Math" w:eastAsiaTheme="minorEastAsia" w:hAnsi="Cambria Math"/>
          </w:rPr>
          <m:t>m</m:t>
        </m:r>
      </m:oMath>
      <w:r w:rsidR="00374247">
        <w:rPr>
          <w:rFonts w:eastAsiaTheme="minorEastAsia"/>
        </w:rPr>
        <w:t xml:space="preserve"> is the number of segments with the infrastructure type,</w:t>
      </w:r>
      <w:r w:rsidR="005952B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t,s,i</m:t>
            </m:r>
          </m:sub>
        </m:sSub>
      </m:oMath>
      <w:r w:rsidR="009601D4">
        <w:rPr>
          <w:rFonts w:eastAsiaTheme="minorEastAsia"/>
        </w:rPr>
        <w:t xml:space="preserve"> </w:t>
      </w:r>
      <w:r w:rsidR="005952BD">
        <w:rPr>
          <w:rFonts w:eastAsiaTheme="minorEastAsia"/>
        </w:rPr>
        <w:t xml:space="preserve">is the </w:t>
      </w:r>
      <w:r w:rsidR="00C800EF">
        <w:rPr>
          <w:rFonts w:eastAsiaTheme="minorEastAsia"/>
        </w:rPr>
        <w:t xml:space="preserve">total </w:t>
      </w:r>
      <w:r w:rsidR="005952BD">
        <w:rPr>
          <w:rFonts w:eastAsiaTheme="minorEastAsia"/>
        </w:rPr>
        <w:t xml:space="preserve">number of </w:t>
      </w:r>
      <w:r w:rsidR="00BD0804">
        <w:rPr>
          <w:rFonts w:eastAsiaTheme="minorEastAsia"/>
        </w:rPr>
        <w:t xml:space="preserve">road user </w:t>
      </w:r>
      <w:r w:rsidR="005952BD">
        <w:rPr>
          <w:rFonts w:eastAsiaTheme="minorEastAsia"/>
        </w:rPr>
        <w:t>injuries</w:t>
      </w:r>
      <w:r w:rsidR="009651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C800EF">
        <w:rPr>
          <w:rFonts w:eastAsiaTheme="minorEastAsia"/>
        </w:rPr>
        <w:t xml:space="preserve"> for a year</w:t>
      </w:r>
      <w:r w:rsidR="009601D4">
        <w:rPr>
          <w:rFonts w:eastAsiaTheme="minorEastAsia"/>
        </w:rPr>
        <w:t>s</w:t>
      </w:r>
      <w:r w:rsidR="00C800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AC6B35">
        <w:rPr>
          <w:rFonts w:eastAsiaTheme="minorEastAsia"/>
        </w:rPr>
        <w:t xml:space="preserve"> and segment</w:t>
      </w:r>
      <w:r w:rsidR="00C800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C800EF">
        <w:rPr>
          <w:rFonts w:eastAsiaTheme="minorEastAsia"/>
        </w:rPr>
        <w:t>,</w:t>
      </w:r>
      <w:r w:rsidR="00E73226">
        <w:rPr>
          <w:rFonts w:eastAsiaTheme="minorEastAsia"/>
        </w:rPr>
        <w:t xml:space="preserve"> and</w:t>
      </w:r>
      <w:r w:rsidR="00C800E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C800EF">
        <w:rPr>
          <w:rFonts w:eastAsiaTheme="minorEastAsia"/>
        </w:rPr>
        <w:t xml:space="preserve"> is the </w:t>
      </w:r>
      <w:r w:rsidR="00AC6B35">
        <w:rPr>
          <w:rFonts w:eastAsiaTheme="minorEastAsia"/>
        </w:rPr>
        <w:t xml:space="preserve">length in kilometers of segment </w:t>
      </w:r>
      <m:oMath>
        <m:r>
          <w:rPr>
            <w:rFonts w:ascii="Cambria Math" w:eastAsiaTheme="minorEastAsia" w:hAnsi="Cambria Math"/>
          </w:rPr>
          <m:t>j</m:t>
        </m:r>
      </m:oMath>
      <w:r w:rsidR="00AC6B35">
        <w:rPr>
          <w:rFonts w:eastAsiaTheme="minorEastAsia"/>
        </w:rPr>
        <w:t xml:space="preserve"> for year</w:t>
      </w:r>
      <m:oMath>
        <m:r>
          <w:rPr>
            <w:rFonts w:ascii="Cambria Math" w:eastAsiaTheme="minorEastAsia" w:hAnsi="Cambria Math"/>
          </w:rPr>
          <m:t xml:space="preserve"> i</m:t>
        </m:r>
      </m:oMath>
      <w:r w:rsidR="00C800EF">
        <w:rPr>
          <w:rFonts w:eastAsiaTheme="minorEastAsia"/>
        </w:rPr>
        <w:t>.</w:t>
      </w:r>
      <w:r w:rsidR="00FA2946">
        <w:rPr>
          <w:rFonts w:eastAsiaTheme="minorEastAsia"/>
        </w:rPr>
        <w:t xml:space="preserve"> The road user injuries per </w:t>
      </w:r>
      <w:r w:rsidR="00A55FBC">
        <w:rPr>
          <w:rFonts w:eastAsiaTheme="minorEastAsia"/>
        </w:rPr>
        <w:t>kilometer-year</w:t>
      </w:r>
      <w:r w:rsidR="00FA2946">
        <w:rPr>
          <w:rFonts w:eastAsiaTheme="minorEastAsia"/>
        </w:rPr>
        <w:t xml:space="preserve"> is calculated for every street (</w:t>
      </w:r>
      <w:r w:rsidR="00FA2946">
        <w:t>Bloor Street, Danforth Street/Avenue, University Avenue, and Yonge Street</w:t>
      </w:r>
      <w:r w:rsidR="00FA2946">
        <w:rPr>
          <w:rFonts w:eastAsiaTheme="minorEastAsia"/>
        </w:rPr>
        <w:t>), infrastructure type (none, painted lane, and cycle track), and road user (driver-related, cyclist-related, and pedestrian-related).</w:t>
      </w:r>
      <w:r w:rsidR="00341878">
        <w:rPr>
          <w:rFonts w:eastAsiaTheme="minorEastAsia"/>
        </w:rPr>
        <w:t xml:space="preserve"> R code</w:t>
      </w:r>
      <w:r w:rsidR="00E35F3D">
        <w:rPr>
          <w:rFonts w:eastAsiaTheme="minorEastAsia"/>
        </w:rPr>
        <w:t xml:space="preserve"> to reproduce the results of the methodology</w:t>
      </w:r>
      <w:r w:rsidR="00341878">
        <w:rPr>
          <w:rFonts w:eastAsiaTheme="minorEastAsia"/>
        </w:rPr>
        <w:t xml:space="preserve"> is available at </w:t>
      </w:r>
      <w:hyperlink r:id="rId9" w:history="1">
        <w:r w:rsidR="00341878" w:rsidRPr="006B2E2E">
          <w:rPr>
            <w:rStyle w:val="Hyperlink"/>
            <w:rFonts w:eastAsiaTheme="minorEastAsia"/>
          </w:rPr>
          <w:t>https://rrwen.github.io/recovr-eval/archive/collisions-bloorunidanyonge</w:t>
        </w:r>
      </w:hyperlink>
      <w:r w:rsidR="00341878">
        <w:rPr>
          <w:rFonts w:eastAsiaTheme="minorEastAsia"/>
        </w:rPr>
        <w:t>.</w:t>
      </w:r>
    </w:p>
    <w:p w14:paraId="69CD92B6" w14:textId="77777777" w:rsidR="00174439" w:rsidRDefault="00174439" w:rsidP="005952BD"/>
    <w:p w14:paraId="63312AA5" w14:textId="77777777" w:rsidR="00B001B9" w:rsidRDefault="00174439" w:rsidP="00B001B9">
      <w:pPr>
        <w:keepNext/>
        <w:jc w:val="center"/>
      </w:pPr>
      <w:r>
        <w:rPr>
          <w:noProof/>
        </w:rPr>
        <w:drawing>
          <wp:inline distT="0" distB="0" distL="0" distR="0" wp14:anchorId="7004F7F2" wp14:editId="2439C675">
            <wp:extent cx="4414298" cy="3579542"/>
            <wp:effectExtent l="0" t="0" r="5715" b="1905"/>
            <wp:docPr id="83516206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62061" name="Picture 1" descr="A diagram of a flow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79" cy="36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0B27" w14:textId="6472AF80" w:rsidR="00174439" w:rsidRDefault="00B001B9" w:rsidP="00E82D89">
      <w:pPr>
        <w:pStyle w:val="Caption"/>
      </w:pPr>
      <w:bookmarkStart w:id="1" w:name="_Ref185038691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"/>
      <w:r>
        <w:t>. Methods for Calculating Injury Rates for Bloor, Danforth, University, and Yonge Streets.</w:t>
      </w:r>
    </w:p>
    <w:p w14:paraId="0877963A" w14:textId="77777777" w:rsidR="00174439" w:rsidRDefault="00174439" w:rsidP="00174439"/>
    <w:p w14:paraId="1D65A35F" w14:textId="257BB62C" w:rsidR="00500906" w:rsidRDefault="0082707A" w:rsidP="005952BD">
      <w:pPr>
        <w:pStyle w:val="Heading1"/>
      </w:pPr>
      <w:r>
        <w:lastRenderedPageBreak/>
        <w:t>References</w:t>
      </w:r>
    </w:p>
    <w:p w14:paraId="44E989CD" w14:textId="77777777" w:rsidR="00500906" w:rsidRPr="00656E7C" w:rsidRDefault="00500906" w:rsidP="00656E7C"/>
    <w:p w14:paraId="1973C7B9" w14:textId="77777777" w:rsidR="00EF4ECE" w:rsidRPr="00EF4ECE" w:rsidRDefault="0082707A" w:rsidP="000713A7">
      <w:pPr>
        <w:pStyle w:val="Bibliography"/>
        <w:spacing w:line="240" w:lineRule="auto"/>
        <w:rPr>
          <w:lang w:val="en-US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EF4ECE" w:rsidRPr="00EF4ECE">
        <w:rPr>
          <w:lang w:val="en-US"/>
        </w:rPr>
        <w:t xml:space="preserve">Rothman, L., Samsel, K., Howard, A., Zanotto, M., Winters, M., Hagel, B., Wen, R., &amp; Batomen, B. (2024). </w:t>
      </w:r>
      <w:r w:rsidR="00EF4ECE" w:rsidRPr="00EF4ECE">
        <w:rPr>
          <w:i/>
          <w:iCs/>
          <w:lang w:val="en-US"/>
        </w:rPr>
        <w:t>Pedaling forward: The evolution of bicycling infrastructure in 3 Canadian cities from 2010 to 2022</w:t>
      </w:r>
      <w:r w:rsidR="00EF4ECE" w:rsidRPr="00EF4ECE">
        <w:rPr>
          <w:lang w:val="en-US"/>
        </w:rPr>
        <w:t>. BMJ Publishing Group Ltd. https://injuryprevention.bmj.com/content/30/Suppl_1/A72.1.abstract</w:t>
      </w:r>
    </w:p>
    <w:p w14:paraId="09C1D01D" w14:textId="77777777" w:rsidR="00EF4ECE" w:rsidRPr="00EF4ECE" w:rsidRDefault="00EF4ECE" w:rsidP="000713A7">
      <w:pPr>
        <w:pStyle w:val="Bibliography"/>
        <w:spacing w:line="240" w:lineRule="auto"/>
        <w:rPr>
          <w:lang w:val="en-US"/>
        </w:rPr>
      </w:pPr>
      <w:r w:rsidRPr="00EF4ECE">
        <w:rPr>
          <w:lang w:val="en-US"/>
        </w:rPr>
        <w:t xml:space="preserve">Winters, M., Beairsto, J., Ferster, C., Laberee, K., Manaugh, K., &amp; Nelson, T. (2022). The Canadian bikeway comfort and safety metrics (CAN-BICS): National measures of the bicycling environment for use in research and policy. </w:t>
      </w:r>
      <w:r w:rsidRPr="00EF4ECE">
        <w:rPr>
          <w:i/>
          <w:iCs/>
          <w:lang w:val="en-US"/>
        </w:rPr>
        <w:t>Health Reports</w:t>
      </w:r>
      <w:r w:rsidRPr="00EF4ECE">
        <w:rPr>
          <w:lang w:val="en-US"/>
        </w:rPr>
        <w:t xml:space="preserve">, </w:t>
      </w:r>
      <w:r w:rsidRPr="00EF4ECE">
        <w:rPr>
          <w:i/>
          <w:iCs/>
          <w:lang w:val="en-US"/>
        </w:rPr>
        <w:t>33</w:t>
      </w:r>
      <w:r w:rsidRPr="00EF4ECE">
        <w:rPr>
          <w:lang w:val="en-US"/>
        </w:rPr>
        <w:t>(10), 3–13.</w:t>
      </w:r>
    </w:p>
    <w:p w14:paraId="7116FA01" w14:textId="11092369" w:rsidR="0085254C" w:rsidRPr="00656E7C" w:rsidRDefault="0082707A" w:rsidP="000421A3">
      <w:r>
        <w:fldChar w:fldCharType="end"/>
      </w:r>
    </w:p>
    <w:p w14:paraId="2B18399D" w14:textId="77777777" w:rsidR="0085254C" w:rsidRPr="00656E7C" w:rsidRDefault="0085254C" w:rsidP="00656E7C"/>
    <w:sectPr w:rsidR="0085254C" w:rsidRPr="00656E7C" w:rsidSect="00237EBB">
      <w:footerReference w:type="even" r:id="rId11"/>
      <w:footerReference w:type="default" r:id="rId1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6EAFE" w14:textId="77777777" w:rsidR="00C31045" w:rsidRDefault="00C31045" w:rsidP="00656E7C">
      <w:r>
        <w:separator/>
      </w:r>
    </w:p>
  </w:endnote>
  <w:endnote w:type="continuationSeparator" w:id="0">
    <w:p w14:paraId="581CE51D" w14:textId="77777777" w:rsidR="00C31045" w:rsidRDefault="00C31045" w:rsidP="00656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766270361"/>
      <w:docPartObj>
        <w:docPartGallery w:val="Page Numbers (Bottom of Page)"/>
        <w:docPartUnique/>
      </w:docPartObj>
    </w:sdtPr>
    <w:sdtContent>
      <w:p w14:paraId="0E16CCD3" w14:textId="292CBEE4" w:rsidR="00C6388E" w:rsidRDefault="00C6388E" w:rsidP="006B2E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A8A035" w14:textId="77777777" w:rsidR="00C6388E" w:rsidRDefault="00C6388E" w:rsidP="00C638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2423900"/>
      <w:docPartObj>
        <w:docPartGallery w:val="Page Numbers (Bottom of Page)"/>
        <w:docPartUnique/>
      </w:docPartObj>
    </w:sdtPr>
    <w:sdtContent>
      <w:p w14:paraId="03A0F972" w14:textId="4A1AD431" w:rsidR="00C6388E" w:rsidRDefault="00C6388E" w:rsidP="006B2E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CC3F31" w14:textId="77777777" w:rsidR="00C6388E" w:rsidRDefault="00C6388E" w:rsidP="00C638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94BCA" w14:textId="77777777" w:rsidR="00C31045" w:rsidRDefault="00C31045" w:rsidP="00656E7C">
      <w:r>
        <w:separator/>
      </w:r>
    </w:p>
  </w:footnote>
  <w:footnote w:type="continuationSeparator" w:id="0">
    <w:p w14:paraId="6943B961" w14:textId="77777777" w:rsidR="00C31045" w:rsidRDefault="00C31045" w:rsidP="00656E7C">
      <w:r>
        <w:continuationSeparator/>
      </w:r>
    </w:p>
  </w:footnote>
  <w:footnote w:id="1">
    <w:p w14:paraId="4606B250" w14:textId="4231095B" w:rsidR="00656E7C" w:rsidRPr="00656E7C" w:rsidRDefault="00656E7C" w:rsidP="00656E7C">
      <w:pPr>
        <w:pStyle w:val="FootnoteText"/>
      </w:pPr>
      <w:r w:rsidRPr="00341878">
        <w:rPr>
          <w:rStyle w:val="FootnoteReference"/>
        </w:rPr>
        <w:footnoteRef/>
      </w:r>
      <w:r w:rsidRPr="00656E7C">
        <w:t xml:space="preserve"> https://open.toronto.ca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DD"/>
    <w:rsid w:val="000421A3"/>
    <w:rsid w:val="000621BF"/>
    <w:rsid w:val="00066AAA"/>
    <w:rsid w:val="000713A7"/>
    <w:rsid w:val="000E0B13"/>
    <w:rsid w:val="00174439"/>
    <w:rsid w:val="001C2C1F"/>
    <w:rsid w:val="001E0B6E"/>
    <w:rsid w:val="0023334C"/>
    <w:rsid w:val="00237EBB"/>
    <w:rsid w:val="00284AB2"/>
    <w:rsid w:val="002858B4"/>
    <w:rsid w:val="002D41DE"/>
    <w:rsid w:val="00316940"/>
    <w:rsid w:val="00330A6E"/>
    <w:rsid w:val="00341878"/>
    <w:rsid w:val="00363B06"/>
    <w:rsid w:val="00374247"/>
    <w:rsid w:val="003A0D04"/>
    <w:rsid w:val="003B63A3"/>
    <w:rsid w:val="00410BB2"/>
    <w:rsid w:val="00427ECB"/>
    <w:rsid w:val="004672FB"/>
    <w:rsid w:val="004D00F5"/>
    <w:rsid w:val="00500906"/>
    <w:rsid w:val="00550B80"/>
    <w:rsid w:val="00594756"/>
    <w:rsid w:val="005952BD"/>
    <w:rsid w:val="005A640F"/>
    <w:rsid w:val="005B4FDA"/>
    <w:rsid w:val="00647803"/>
    <w:rsid w:val="00656E7C"/>
    <w:rsid w:val="00677236"/>
    <w:rsid w:val="006933B3"/>
    <w:rsid w:val="00697FD9"/>
    <w:rsid w:val="006F3426"/>
    <w:rsid w:val="00743BF0"/>
    <w:rsid w:val="0075399E"/>
    <w:rsid w:val="00775B8C"/>
    <w:rsid w:val="007B1917"/>
    <w:rsid w:val="007B5B52"/>
    <w:rsid w:val="00803505"/>
    <w:rsid w:val="0080689B"/>
    <w:rsid w:val="0081447D"/>
    <w:rsid w:val="0082707A"/>
    <w:rsid w:val="0085254C"/>
    <w:rsid w:val="00877CB3"/>
    <w:rsid w:val="00893075"/>
    <w:rsid w:val="008B08FF"/>
    <w:rsid w:val="008E0295"/>
    <w:rsid w:val="009362DD"/>
    <w:rsid w:val="009601D4"/>
    <w:rsid w:val="0096514C"/>
    <w:rsid w:val="00965634"/>
    <w:rsid w:val="00965669"/>
    <w:rsid w:val="00983144"/>
    <w:rsid w:val="009C749A"/>
    <w:rsid w:val="00A101DD"/>
    <w:rsid w:val="00A322D9"/>
    <w:rsid w:val="00A477E8"/>
    <w:rsid w:val="00A55FBC"/>
    <w:rsid w:val="00AC6B35"/>
    <w:rsid w:val="00AE612C"/>
    <w:rsid w:val="00B001B9"/>
    <w:rsid w:val="00B10FCD"/>
    <w:rsid w:val="00BC183B"/>
    <w:rsid w:val="00BC5F2C"/>
    <w:rsid w:val="00BD0804"/>
    <w:rsid w:val="00BE0D98"/>
    <w:rsid w:val="00C02BFF"/>
    <w:rsid w:val="00C15ECD"/>
    <w:rsid w:val="00C31045"/>
    <w:rsid w:val="00C6388E"/>
    <w:rsid w:val="00C800EF"/>
    <w:rsid w:val="00C80382"/>
    <w:rsid w:val="00C80851"/>
    <w:rsid w:val="00C80967"/>
    <w:rsid w:val="00C8383E"/>
    <w:rsid w:val="00C9492B"/>
    <w:rsid w:val="00C9658E"/>
    <w:rsid w:val="00DB08E6"/>
    <w:rsid w:val="00DB54D9"/>
    <w:rsid w:val="00DD42EA"/>
    <w:rsid w:val="00DE0B0D"/>
    <w:rsid w:val="00DE5DF2"/>
    <w:rsid w:val="00DF6DFA"/>
    <w:rsid w:val="00E00AD6"/>
    <w:rsid w:val="00E145B0"/>
    <w:rsid w:val="00E21177"/>
    <w:rsid w:val="00E21F55"/>
    <w:rsid w:val="00E3590F"/>
    <w:rsid w:val="00E35F3D"/>
    <w:rsid w:val="00E730C9"/>
    <w:rsid w:val="00E73226"/>
    <w:rsid w:val="00E74643"/>
    <w:rsid w:val="00E82D89"/>
    <w:rsid w:val="00EE5A88"/>
    <w:rsid w:val="00EF4ECE"/>
    <w:rsid w:val="00F02E70"/>
    <w:rsid w:val="00F40C12"/>
    <w:rsid w:val="00FA2946"/>
    <w:rsid w:val="00FB2F13"/>
    <w:rsid w:val="00FB4239"/>
    <w:rsid w:val="00FB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1240"/>
  <w15:chartTrackingRefBased/>
  <w15:docId w15:val="{588C7DFF-1366-4344-89BA-21A7EA9F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E7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E7C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1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1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1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1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7C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E7C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56E7C"/>
    <w:rPr>
      <w:rFonts w:ascii="Times New Roman" w:hAnsi="Times New Roman" w:cs="Times New Roman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1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1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1DD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unhideWhenUsed/>
    <w:rsid w:val="00656E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56E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6E7C"/>
    <w:rPr>
      <w:vertAlign w:val="superscript"/>
    </w:rPr>
  </w:style>
  <w:style w:type="table" w:styleId="TableGrid">
    <w:name w:val="Table Grid"/>
    <w:basedOn w:val="TableNormal"/>
    <w:uiPriority w:val="39"/>
    <w:rsid w:val="001C2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2C1F"/>
    <w:pPr>
      <w:spacing w:after="200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09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96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82707A"/>
    <w:pPr>
      <w:spacing w:line="480" w:lineRule="auto"/>
      <w:ind w:left="720" w:hanging="720"/>
    </w:pPr>
  </w:style>
  <w:style w:type="character" w:styleId="EndnoteReference">
    <w:name w:val="endnote reference"/>
    <w:basedOn w:val="DefaultParagraphFont"/>
    <w:uiPriority w:val="99"/>
    <w:semiHidden/>
    <w:unhideWhenUsed/>
    <w:rsid w:val="0031694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E0295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C63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88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C63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9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toronto.ca/dataset/regional-municipal-boundar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rwen/recovr-infracycle/blob/main/data/toronto-bikeways-preprocess-v3.geojso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rwen.github.io/recovr-eval/archive/collisions-bloorunidanyon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095804-1F74-7F45-AABA-00600F96E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1089</Words>
  <Characters>6211</Characters>
  <Application>Microsoft Office Word</Application>
  <DocSecurity>0</DocSecurity>
  <Lines>51</Lines>
  <Paragraphs>14</Paragraphs>
  <ScaleCrop>false</ScaleCrop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Wen</dc:creator>
  <cp:keywords/>
  <dc:description/>
  <cp:lastModifiedBy>Richard Wen</cp:lastModifiedBy>
  <cp:revision>90</cp:revision>
  <dcterms:created xsi:type="dcterms:W3CDTF">2024-12-14T05:53:00Z</dcterms:created>
  <dcterms:modified xsi:type="dcterms:W3CDTF">2024-12-16T22:17:00Z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id="cVdODhyM"/&gt;&lt;style id="http://www.zotero.org/styles/apa" locale="en-CA" hasBibliography="1" bibliographyStyleHasBeenSet="1"/&gt;&lt;prefs&gt;&lt;pref name="fieldType" value="Field"/&gt;&lt;/prefs&gt;&lt;/data&gt;</vt:lpwstr>
  </property>
</Properties>
</file>