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244" w:rsidRPr="00DA7F01" w:rsidRDefault="00DA7F01" w:rsidP="00E6484A">
      <w:pPr>
        <w:spacing w:after="48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April</w:t>
      </w:r>
      <w:r w:rsidR="004521FA">
        <w:rPr>
          <w:rFonts w:ascii="Palatino Linotype" w:hAnsi="Palatino Linotype" w:cs="Times New Roman"/>
          <w:sz w:val="20"/>
          <w:szCs w:val="20"/>
        </w:rPr>
        <w:t xml:space="preserve"> 15, 2026</w:t>
      </w:r>
    </w:p>
    <w:p w:rsidR="00B32244" w:rsidRPr="00DA7F01" w:rsidRDefault="00455CDB">
      <w:pPr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bCs/>
          <w:sz w:val="20"/>
          <w:szCs w:val="20"/>
        </w:rPr>
        <w:t xml:space="preserve">Professor </w:t>
      </w:r>
      <w:r w:rsidR="00C833D1" w:rsidRPr="00DA7F01">
        <w:rPr>
          <w:rFonts w:ascii="Palatino Linotype" w:hAnsi="Palatino Linotype" w:cs="Times New Roman"/>
          <w:bCs/>
          <w:sz w:val="20"/>
          <w:szCs w:val="20"/>
        </w:rPr>
        <w:t xml:space="preserve">Wolfgang </w:t>
      </w:r>
      <w:proofErr w:type="spellStart"/>
      <w:r w:rsidR="00C833D1" w:rsidRPr="00DA7F01">
        <w:rPr>
          <w:rFonts w:ascii="Palatino Linotype" w:hAnsi="Palatino Linotype" w:cs="Times New Roman"/>
          <w:bCs/>
          <w:sz w:val="20"/>
          <w:szCs w:val="20"/>
        </w:rPr>
        <w:t>Kainz</w:t>
      </w:r>
      <w:proofErr w:type="spellEnd"/>
    </w:p>
    <w:p w:rsidR="00B32244" w:rsidRPr="00E621E4" w:rsidRDefault="00E621E4">
      <w:pPr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iCs/>
          <w:sz w:val="20"/>
          <w:szCs w:val="20"/>
        </w:rPr>
        <w:t xml:space="preserve">Editor-in-Chief, </w:t>
      </w:r>
      <w:r w:rsidR="00C833D1" w:rsidRPr="00E621E4">
        <w:rPr>
          <w:rFonts w:ascii="Palatino Linotype" w:hAnsi="Palatino Linotype" w:cs="Times New Roman"/>
          <w:iCs/>
          <w:sz w:val="20"/>
          <w:szCs w:val="20"/>
        </w:rPr>
        <w:t>ISPRS International Journal of Geo-Information</w:t>
      </w:r>
    </w:p>
    <w:p w:rsidR="00B32244" w:rsidRPr="00DA7F01" w:rsidRDefault="00500D2A" w:rsidP="003044EB">
      <w:pPr>
        <w:spacing w:after="36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MDPI</w:t>
      </w:r>
    </w:p>
    <w:p w:rsidR="00B32244" w:rsidRPr="00DA7F01" w:rsidRDefault="00455CDB" w:rsidP="00BB1E28">
      <w:pPr>
        <w:spacing w:after="360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Dear Professor </w:t>
      </w:r>
      <w:proofErr w:type="spellStart"/>
      <w:r w:rsidR="00C833D1" w:rsidRPr="00DA7F01">
        <w:rPr>
          <w:rFonts w:ascii="Palatino Linotype" w:hAnsi="Palatino Linotype" w:cs="Times New Roman"/>
          <w:sz w:val="20"/>
          <w:szCs w:val="20"/>
        </w:rPr>
        <w:t>Kainz</w:t>
      </w:r>
      <w:proofErr w:type="spellEnd"/>
      <w:r w:rsidR="00C833D1" w:rsidRPr="00DA7F01">
        <w:rPr>
          <w:rFonts w:ascii="Palatino Linotype" w:hAnsi="Palatino Linotype" w:cs="Times New Roman"/>
          <w:sz w:val="20"/>
          <w:szCs w:val="20"/>
        </w:rPr>
        <w:t>,</w:t>
      </w:r>
    </w:p>
    <w:p w:rsidR="00B32244" w:rsidRPr="00DA7F01" w:rsidRDefault="00C833D1" w:rsidP="00945FAB">
      <w:pPr>
        <w:spacing w:after="24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We are pleased to submit our manuscript, </w:t>
      </w:r>
      <w:r w:rsidR="00A730CE">
        <w:rPr>
          <w:rFonts w:ascii="Palatino Linotype" w:hAnsi="Palatino Linotype" w:cs="Times New Roman"/>
          <w:bCs/>
          <w:sz w:val="20"/>
          <w:szCs w:val="20"/>
        </w:rPr>
        <w:t>“The Geo-intervention Modelling Framework</w:t>
      </w:r>
      <w:r w:rsidRPr="00DA7F01">
        <w:rPr>
          <w:rFonts w:ascii="Palatino Linotype" w:hAnsi="Palatino Linotype" w:cs="Times New Roman"/>
          <w:bCs/>
          <w:sz w:val="20"/>
          <w:szCs w:val="20"/>
        </w:rPr>
        <w:t>”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, for consideration in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IJGI</w:t>
      </w:r>
      <w:r w:rsidRPr="00DA7F01">
        <w:rPr>
          <w:rFonts w:ascii="Palatino Linotype" w:hAnsi="Palatino Linotype" w:cs="Times New Roman"/>
          <w:sz w:val="20"/>
          <w:szCs w:val="20"/>
        </w:rPr>
        <w:t>. Spatially targeted interventions have profound real-world stakes: road t</w:t>
      </w:r>
      <w:r w:rsidR="00951C72">
        <w:rPr>
          <w:rFonts w:ascii="Palatino Linotype" w:hAnsi="Palatino Linotype" w:cs="Times New Roman"/>
          <w:sz w:val="20"/>
          <w:szCs w:val="20"/>
        </w:rPr>
        <w:t>raffic crashes alone kill over a</w:t>
      </w:r>
      <w:r w:rsidR="00A84B41">
        <w:rPr>
          <w:rFonts w:ascii="Palatino Linotype" w:hAnsi="Palatino Linotype" w:cs="Times New Roman"/>
          <w:sz w:val="20"/>
          <w:szCs w:val="20"/>
        </w:rPr>
        <w:t xml:space="preserve"> million peoples and</w:t>
      </w:r>
      <w:r w:rsidR="00951C72">
        <w:rPr>
          <w:rFonts w:ascii="Palatino Linotype" w:hAnsi="Palatino Linotype" w:cs="Times New Roman"/>
          <w:sz w:val="20"/>
          <w:szCs w:val="20"/>
        </w:rPr>
        <w:t xml:space="preserve"> cost the global economy more than</w:t>
      </w:r>
      <w:r w:rsidR="00256D8B">
        <w:rPr>
          <w:rFonts w:ascii="Palatino Linotype" w:hAnsi="Palatino Linotype" w:cs="Times New Roman"/>
          <w:sz w:val="20"/>
          <w:szCs w:val="20"/>
        </w:rPr>
        <w:t xml:space="preserve"> $3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trillion annually, while </w:t>
      </w:r>
      <w:r w:rsidR="00256D8B">
        <w:rPr>
          <w:rFonts w:ascii="Palatino Linotype" w:hAnsi="Palatino Linotype" w:cs="Times New Roman"/>
          <w:sz w:val="20"/>
          <w:szCs w:val="20"/>
        </w:rPr>
        <w:t xml:space="preserve">tens of millions of 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preventable deaths from spatially addressable conditions </w:t>
      </w:r>
      <w:r w:rsidR="00256D8B">
        <w:rPr>
          <w:rFonts w:ascii="Palatino Linotype" w:hAnsi="Palatino Linotype" w:cs="Times New Roman"/>
          <w:sz w:val="20"/>
          <w:szCs w:val="20"/>
        </w:rPr>
        <w:t>occur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worldwide. Recent advances in geospatial AI </w:t>
      </w:r>
      <w:r w:rsidR="004E7365">
        <w:rPr>
          <w:rFonts w:ascii="Palatino Linotype" w:hAnsi="Palatino Linotype" w:cs="Times New Roman"/>
          <w:sz w:val="20"/>
          <w:szCs w:val="20"/>
        </w:rPr>
        <w:t>revealed that location data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</w:t>
      </w:r>
      <w:r w:rsidR="004E7365">
        <w:rPr>
          <w:rFonts w:ascii="Palatino Linotype" w:hAnsi="Palatino Linotype" w:cs="Times New Roman"/>
          <w:sz w:val="20"/>
          <w:szCs w:val="20"/>
        </w:rPr>
        <w:t xml:space="preserve">is </w:t>
      </w:r>
      <w:r w:rsidRPr="00DA7F01">
        <w:rPr>
          <w:rFonts w:ascii="Palatino Linotype" w:hAnsi="Palatino Linotype" w:cs="Times New Roman"/>
          <w:sz w:val="20"/>
          <w:szCs w:val="20"/>
        </w:rPr>
        <w:t>predict</w:t>
      </w:r>
      <w:r w:rsidR="004E7365">
        <w:rPr>
          <w:rFonts w:ascii="Palatino Linotype" w:hAnsi="Palatino Linotype" w:cs="Times New Roman"/>
          <w:sz w:val="20"/>
          <w:szCs w:val="20"/>
        </w:rPr>
        <w:t>ive of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poverty, household income, and long-term health</w:t>
      </w:r>
      <w:r w:rsidR="00455CDB" w:rsidRPr="00DA7F01">
        <w:rPr>
          <w:rFonts w:ascii="Palatino Linotype" w:hAnsi="Palatino Linotype" w:cs="Times New Roman"/>
          <w:sz w:val="20"/>
          <w:szCs w:val="20"/>
        </w:rPr>
        <w:t xml:space="preserve"> outcomes</w:t>
      </w:r>
      <w:r w:rsidR="00DD1BC6">
        <w:rPr>
          <w:rFonts w:ascii="Palatino Linotype" w:hAnsi="Palatino Linotype" w:cs="Times New Roman"/>
          <w:sz w:val="20"/>
          <w:szCs w:val="20"/>
        </w:rPr>
        <w:t>;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Google’s</w:t>
      </w:r>
      <w:r w:rsidR="00DD1BC6">
        <w:rPr>
          <w:rFonts w:ascii="Palatino Linotype" w:hAnsi="Palatino Linotype" w:cs="Times New Roman"/>
          <w:sz w:val="20"/>
          <w:szCs w:val="20"/>
        </w:rPr>
        <w:t xml:space="preserve"> latest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Geospatial Reasoning initiative </w:t>
      </w:r>
      <w:r w:rsidR="00DD1BC6">
        <w:rPr>
          <w:rFonts w:ascii="Palatino Linotype" w:hAnsi="Palatino Linotype" w:cs="Times New Roman"/>
          <w:sz w:val="20"/>
          <w:szCs w:val="20"/>
        </w:rPr>
        <w:t>extends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these capabi</w:t>
      </w:r>
      <w:r w:rsidRPr="00DA7F01">
        <w:rPr>
          <w:rFonts w:ascii="Palatino Linotype" w:hAnsi="Palatino Linotype" w:cs="Times New Roman"/>
          <w:sz w:val="20"/>
          <w:szCs w:val="20"/>
        </w:rPr>
        <w:t>lities into public health, crisis response, and climate resilience. Our manuscript contributes a foundational methodology to this space: a f</w:t>
      </w:r>
      <w:r w:rsidR="009E77C5">
        <w:rPr>
          <w:rFonts w:ascii="Palatino Linotype" w:hAnsi="Palatino Linotype" w:cs="Times New Roman"/>
          <w:sz w:val="20"/>
          <w:szCs w:val="20"/>
        </w:rPr>
        <w:t>ramework for generating precise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location-specific interventions from geographic data, moving beyond where problems </w:t>
      </w:r>
      <w:r w:rsidRPr="00DA7F01">
        <w:rPr>
          <w:rFonts w:ascii="Palatino Linotype" w:hAnsi="Palatino Linotype" w:cs="Times New Roman"/>
          <w:sz w:val="20"/>
          <w:szCs w:val="20"/>
        </w:rPr>
        <w:t>are located</w:t>
      </w:r>
      <w:r>
        <w:rPr>
          <w:rFonts w:ascii="Palatino Linotype" w:hAnsi="Palatino Linotype" w:cs="Times New Roman"/>
          <w:sz w:val="20"/>
          <w:szCs w:val="20"/>
        </w:rPr>
        <w:t>, and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toward</w:t>
      </w:r>
      <w:r>
        <w:rPr>
          <w:rFonts w:ascii="Palatino Linotype" w:hAnsi="Palatino Linotype" w:cs="Times New Roman"/>
          <w:sz w:val="20"/>
          <w:szCs w:val="20"/>
        </w:rPr>
        <w:t>s</w:t>
      </w:r>
      <w:bookmarkStart w:id="0" w:name="_GoBack"/>
      <w:bookmarkEnd w:id="0"/>
      <w:r w:rsidRPr="00DA7F01">
        <w:rPr>
          <w:rFonts w:ascii="Palatino Linotype" w:hAnsi="Palatino Linotype" w:cs="Times New Roman"/>
          <w:sz w:val="20"/>
          <w:szCs w:val="20"/>
        </w:rPr>
        <w:t xml:space="preserve"> what can be done about them.</w:t>
      </w:r>
    </w:p>
    <w:p w:rsidR="00B32244" w:rsidRPr="00DA7F01" w:rsidRDefault="00324BFF" w:rsidP="00945FAB">
      <w:pPr>
        <w:spacing w:after="24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GIS </w:t>
      </w:r>
      <w:r w:rsidR="003E5B4E">
        <w:rPr>
          <w:rFonts w:ascii="Palatino Linotype" w:hAnsi="Palatino Linotype" w:cs="Times New Roman"/>
          <w:sz w:val="20"/>
          <w:szCs w:val="20"/>
        </w:rPr>
        <w:t>has</w:t>
      </w:r>
      <w:r w:rsidR="00FB05EA">
        <w:rPr>
          <w:rFonts w:ascii="Palatino Linotype" w:hAnsi="Palatino Linotype" w:cs="Times New Roman"/>
          <w:sz w:val="20"/>
          <w:szCs w:val="20"/>
        </w:rPr>
        <w:t xml:space="preserve"> </w:t>
      </w:r>
      <w:r w:rsidR="00C833D1" w:rsidRPr="00DA7F01">
        <w:rPr>
          <w:rFonts w:ascii="Palatino Linotype" w:hAnsi="Palatino Linotype" w:cs="Times New Roman"/>
          <w:sz w:val="20"/>
          <w:szCs w:val="20"/>
        </w:rPr>
        <w:t>excelled at identifying where pro</w:t>
      </w:r>
      <w:r w:rsidR="00FC0BC6">
        <w:rPr>
          <w:rFonts w:ascii="Palatino Linotype" w:hAnsi="Palatino Linotype" w:cs="Times New Roman"/>
          <w:sz w:val="20"/>
          <w:szCs w:val="20"/>
        </w:rPr>
        <w:t>blems occur, but the application</w:t>
      </w:r>
      <w:r w:rsidR="009623B7">
        <w:rPr>
          <w:rFonts w:ascii="Palatino Linotype" w:hAnsi="Palatino Linotype" w:cs="Times New Roman"/>
          <w:sz w:val="20"/>
          <w:szCs w:val="20"/>
        </w:rPr>
        <w:t xml:space="preserve"> into </w:t>
      </w:r>
      <w:r w:rsidR="00C833D1" w:rsidRPr="00DA7F01">
        <w:rPr>
          <w:rFonts w:ascii="Palatino Linotype" w:hAnsi="Palatino Linotype" w:cs="Times New Roman"/>
          <w:sz w:val="20"/>
          <w:szCs w:val="20"/>
        </w:rPr>
        <w:t>loca</w:t>
      </w:r>
      <w:r w:rsidR="004B1407">
        <w:rPr>
          <w:rFonts w:ascii="Palatino Linotype" w:hAnsi="Palatino Linotype" w:cs="Times New Roman"/>
          <w:sz w:val="20"/>
          <w:szCs w:val="20"/>
        </w:rPr>
        <w:t>tion-specific a</w:t>
      </w:r>
      <w:r w:rsidR="00425F53">
        <w:rPr>
          <w:rFonts w:ascii="Palatino Linotype" w:hAnsi="Palatino Linotype" w:cs="Times New Roman"/>
          <w:sz w:val="20"/>
          <w:szCs w:val="20"/>
        </w:rPr>
        <w:t>ctions has received less attention</w:t>
      </w:r>
      <w:r w:rsidR="00C833D1" w:rsidRPr="00DA7F01">
        <w:rPr>
          <w:rFonts w:ascii="Palatino Linotype" w:hAnsi="Palatino Linotype" w:cs="Times New Roman"/>
          <w:sz w:val="20"/>
          <w:szCs w:val="20"/>
        </w:rPr>
        <w:t>. We propose geo-intervent</w:t>
      </w:r>
      <w:r w:rsidR="00D15D97">
        <w:rPr>
          <w:rFonts w:ascii="Palatino Linotype" w:hAnsi="Palatino Linotype" w:cs="Times New Roman"/>
          <w:sz w:val="20"/>
          <w:szCs w:val="20"/>
        </w:rPr>
        <w:t>ion modelling as an approach</w:t>
      </w:r>
      <w:r w:rsidR="00B07F3C">
        <w:rPr>
          <w:rFonts w:ascii="Palatino Linotype" w:hAnsi="Palatino Linotype" w:cs="Times New Roman"/>
          <w:sz w:val="20"/>
          <w:szCs w:val="20"/>
        </w:rPr>
        <w:t xml:space="preserve"> to structure</w:t>
      </w:r>
      <w:r w:rsidR="00C833D1" w:rsidRPr="00DA7F01">
        <w:rPr>
          <w:rFonts w:ascii="Palatino Linotype" w:hAnsi="Palatino Linotype" w:cs="Times New Roman"/>
          <w:sz w:val="20"/>
          <w:szCs w:val="20"/>
        </w:rPr>
        <w:t xml:space="preserve"> this: optimizing actions and their locations against predicted outcomes using </w:t>
      </w:r>
      <w:r w:rsidR="005C5850">
        <w:rPr>
          <w:rFonts w:ascii="Palatino Linotype" w:hAnsi="Palatino Linotype" w:cs="Times New Roman"/>
          <w:sz w:val="20"/>
          <w:szCs w:val="20"/>
        </w:rPr>
        <w:t>geo</w:t>
      </w:r>
      <w:r w:rsidR="00C833D1" w:rsidRPr="00DA7F01">
        <w:rPr>
          <w:rFonts w:ascii="Palatino Linotype" w:hAnsi="Palatino Linotype" w:cs="Times New Roman"/>
          <w:sz w:val="20"/>
          <w:szCs w:val="20"/>
        </w:rPr>
        <w:t>spatial data and machine learning. We demonstrate</w:t>
      </w:r>
      <w:r w:rsidR="00FB05EA">
        <w:rPr>
          <w:rFonts w:ascii="Palatino Linotype" w:hAnsi="Palatino Linotype" w:cs="Times New Roman"/>
          <w:sz w:val="20"/>
          <w:szCs w:val="20"/>
        </w:rPr>
        <w:t>d</w:t>
      </w:r>
      <w:r w:rsidR="00C833D1" w:rsidRPr="00DA7F01">
        <w:rPr>
          <w:rFonts w:ascii="Palatino Linotype" w:hAnsi="Palatino Linotype" w:cs="Times New Roman"/>
          <w:sz w:val="20"/>
          <w:szCs w:val="20"/>
        </w:rPr>
        <w:t xml:space="preserve"> the approach through a case study on traffic collision reduction in Toronto, Canada, where t</w:t>
      </w:r>
      <w:r w:rsidR="00C833D1" w:rsidRPr="00DA7F01">
        <w:rPr>
          <w:rFonts w:ascii="Palatino Linotype" w:hAnsi="Palatino Linotype" w:cs="Times New Roman"/>
          <w:sz w:val="20"/>
          <w:szCs w:val="20"/>
        </w:rPr>
        <w:t>he framework identified modifications to red light camera, transit shelter, and wayfinding infrastructure predicted to reduce collisions by 5.7%. While tran</w:t>
      </w:r>
      <w:r w:rsidR="00496B9A">
        <w:rPr>
          <w:rFonts w:ascii="Palatino Linotype" w:hAnsi="Palatino Linotype" w:cs="Times New Roman"/>
          <w:sz w:val="20"/>
          <w:szCs w:val="20"/>
        </w:rPr>
        <w:t>sportation served as an example</w:t>
      </w:r>
      <w:r w:rsidR="00C833D1" w:rsidRPr="00DA7F01">
        <w:rPr>
          <w:rFonts w:ascii="Palatino Linotype" w:hAnsi="Palatino Linotype" w:cs="Times New Roman"/>
          <w:sz w:val="20"/>
          <w:szCs w:val="20"/>
        </w:rPr>
        <w:t>,</w:t>
      </w:r>
      <w:r w:rsidR="00496B9A">
        <w:rPr>
          <w:rFonts w:ascii="Palatino Linotype" w:hAnsi="Palatino Linotype" w:cs="Times New Roman"/>
          <w:sz w:val="20"/>
          <w:szCs w:val="20"/>
        </w:rPr>
        <w:t xml:space="preserve"> the framework applies</w:t>
      </w:r>
      <w:r w:rsidR="00C833D1" w:rsidRPr="00DA7F01">
        <w:rPr>
          <w:rFonts w:ascii="Palatino Linotype" w:hAnsi="Palatino Linotype" w:cs="Times New Roman"/>
          <w:sz w:val="20"/>
          <w:szCs w:val="20"/>
        </w:rPr>
        <w:t xml:space="preserve"> to population health, urban planni</w:t>
      </w:r>
      <w:r w:rsidR="00C833D1" w:rsidRPr="00DA7F01">
        <w:rPr>
          <w:rFonts w:ascii="Palatino Linotype" w:hAnsi="Palatino Linotype" w:cs="Times New Roman"/>
          <w:sz w:val="20"/>
          <w:szCs w:val="20"/>
        </w:rPr>
        <w:t>n</w:t>
      </w:r>
      <w:r w:rsidR="008413C7">
        <w:rPr>
          <w:rFonts w:ascii="Palatino Linotype" w:hAnsi="Palatino Linotype" w:cs="Times New Roman"/>
          <w:sz w:val="20"/>
          <w:szCs w:val="20"/>
        </w:rPr>
        <w:t>g, and other domains where location</w:t>
      </w:r>
      <w:r w:rsidR="00C833D1" w:rsidRPr="00DA7F01">
        <w:rPr>
          <w:rFonts w:ascii="Palatino Linotype" w:hAnsi="Palatino Linotype" w:cs="Times New Roman"/>
          <w:sz w:val="20"/>
          <w:szCs w:val="20"/>
        </w:rPr>
        <w:t>-based decisions affect human outcomes.</w:t>
      </w:r>
    </w:p>
    <w:p w:rsidR="00D237CA" w:rsidRDefault="00C833D1" w:rsidP="00945FAB">
      <w:pPr>
        <w:spacing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We believe this work is both timely and a strong fit for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IJGI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. It speaks directly to the journal’s focus on geospatial artificial intelligence, spatial analysis and decision-making, 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and spatial data modelling, and connects closely with the journal’s Special Issues on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LLM4GIS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and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Spatial Data Science and Knowledge Discovery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. </w:t>
      </w:r>
      <w:r w:rsidR="00455CDB" w:rsidRPr="00DA7F01">
        <w:rPr>
          <w:rFonts w:ascii="Palatino Linotype" w:hAnsi="Palatino Linotype" w:cs="Times New Roman"/>
          <w:sz w:val="20"/>
          <w:szCs w:val="20"/>
        </w:rPr>
        <w:t>We confirm that neither the manuscript nor any parts of its content are currently under consideration for publication with or published in another journal.</w:t>
      </w:r>
      <w:r w:rsidR="00DA7F01" w:rsidRPr="00DA7F01">
        <w:t xml:space="preserve"> </w:t>
      </w:r>
      <w:r w:rsidR="00DA7F01" w:rsidRPr="00DA7F01">
        <w:rPr>
          <w:rFonts w:ascii="Palatino Linotype" w:hAnsi="Palatino Linotype" w:cs="Times New Roman"/>
          <w:sz w:val="20"/>
          <w:szCs w:val="20"/>
        </w:rPr>
        <w:t>All authors have approved the manuscript and agree with its submission to IJGI.</w:t>
      </w:r>
    </w:p>
    <w:p w:rsidR="00D237CA" w:rsidRDefault="00D237CA" w:rsidP="005D0107">
      <w:pPr>
        <w:spacing w:line="276" w:lineRule="auto"/>
        <w:jc w:val="both"/>
        <w:rPr>
          <w:rFonts w:ascii="Palatino Linotype" w:hAnsi="Palatino Linotype" w:cs="Times New Roman"/>
          <w:sz w:val="20"/>
          <w:szCs w:val="20"/>
        </w:rPr>
      </w:pPr>
    </w:p>
    <w:p w:rsidR="00B32244" w:rsidRPr="00DA7F01" w:rsidRDefault="00C833D1" w:rsidP="005D0107">
      <w:pPr>
        <w:spacing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We thank you </w:t>
      </w:r>
      <w:r w:rsidRPr="00DA7F01">
        <w:rPr>
          <w:rFonts w:ascii="Palatino Linotype" w:hAnsi="Palatino Linotype" w:cs="Times New Roman"/>
          <w:sz w:val="20"/>
          <w:szCs w:val="20"/>
        </w:rPr>
        <w:t>for your consideration and time.</w:t>
      </w:r>
    </w:p>
    <w:p w:rsidR="00B32244" w:rsidRPr="00DA7F01" w:rsidRDefault="00C833D1" w:rsidP="007B516D">
      <w:pPr>
        <w:spacing w:before="360" w:after="480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>Sincerely,</w:t>
      </w:r>
    </w:p>
    <w:p w:rsidR="00B32244" w:rsidRPr="00DA7F01" w:rsidRDefault="00DA7F01">
      <w:pPr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bCs/>
          <w:sz w:val="20"/>
          <w:szCs w:val="20"/>
        </w:rPr>
        <w:t>Professor Songnian Li</w:t>
      </w:r>
    </w:p>
    <w:p w:rsidR="00B32244" w:rsidRPr="00DA7F01" w:rsidRDefault="00DA7F01">
      <w:pPr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Professor and Assoc</w:t>
      </w:r>
      <w:r w:rsidR="00E621E4">
        <w:rPr>
          <w:rFonts w:ascii="Palatino Linotype" w:hAnsi="Palatino Linotype" w:cs="Times New Roman"/>
          <w:sz w:val="20"/>
          <w:szCs w:val="20"/>
        </w:rPr>
        <w:t xml:space="preserve">iate Chair of Graduate Studies, </w:t>
      </w:r>
      <w:r>
        <w:rPr>
          <w:rFonts w:ascii="Palatino Linotype" w:hAnsi="Palatino Linotype" w:cs="Times New Roman"/>
          <w:sz w:val="20"/>
          <w:szCs w:val="20"/>
        </w:rPr>
        <w:t>Department of Civil Engineering</w:t>
      </w:r>
    </w:p>
    <w:p w:rsidR="00B32244" w:rsidRPr="00DA7F01" w:rsidRDefault="00DA7F01">
      <w:pPr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Toronto Metropolitan University</w:t>
      </w:r>
    </w:p>
    <w:p w:rsidR="00B32244" w:rsidRPr="00DA7F01" w:rsidRDefault="00DA7F01">
      <w:pPr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snli@torontomu.ca</w:t>
      </w:r>
    </w:p>
    <w:p w:rsidR="00DA7F01" w:rsidRDefault="00DA7F01">
      <w:pPr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416-979-5000 ext. 556450</w:t>
      </w:r>
    </w:p>
    <w:p w:rsidR="00DD1BC6" w:rsidRPr="00DA7F01" w:rsidRDefault="00DD1BC6">
      <w:pPr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On</w:t>
      </w:r>
      <w:r w:rsidR="00107D72">
        <w:rPr>
          <w:rFonts w:ascii="Palatino Linotype" w:hAnsi="Palatino Linotype" w:cs="Times New Roman"/>
          <w:sz w:val="20"/>
          <w:szCs w:val="20"/>
        </w:rPr>
        <w:t xml:space="preserve"> b</w:t>
      </w:r>
      <w:r w:rsidR="00A730CE">
        <w:rPr>
          <w:rFonts w:ascii="Palatino Linotype" w:hAnsi="Palatino Linotype" w:cs="Times New Roman"/>
          <w:sz w:val="20"/>
          <w:szCs w:val="20"/>
        </w:rPr>
        <w:t>ehalf of Richard Wen</w:t>
      </w:r>
    </w:p>
    <w:sectPr w:rsidR="00DD1BC6" w:rsidRPr="00DA7F01" w:rsidSect="00E8154D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946CEB"/>
    <w:multiLevelType w:val="hybridMultilevel"/>
    <w:tmpl w:val="7286EEB4"/>
    <w:lvl w:ilvl="0" w:tplc="011CC700">
      <w:start w:val="1"/>
      <w:numFmt w:val="bullet"/>
      <w:lvlText w:val="●"/>
      <w:lvlJc w:val="left"/>
      <w:pPr>
        <w:ind w:left="720" w:hanging="360"/>
      </w:pPr>
    </w:lvl>
    <w:lvl w:ilvl="1" w:tplc="F086D3DE">
      <w:start w:val="1"/>
      <w:numFmt w:val="bullet"/>
      <w:lvlText w:val="○"/>
      <w:lvlJc w:val="left"/>
      <w:pPr>
        <w:ind w:left="1440" w:hanging="360"/>
      </w:pPr>
    </w:lvl>
    <w:lvl w:ilvl="2" w:tplc="9F0C307E">
      <w:start w:val="1"/>
      <w:numFmt w:val="bullet"/>
      <w:lvlText w:val="■"/>
      <w:lvlJc w:val="left"/>
      <w:pPr>
        <w:ind w:left="2160" w:hanging="360"/>
      </w:pPr>
    </w:lvl>
    <w:lvl w:ilvl="3" w:tplc="BCFA3E88">
      <w:start w:val="1"/>
      <w:numFmt w:val="bullet"/>
      <w:lvlText w:val="●"/>
      <w:lvlJc w:val="left"/>
      <w:pPr>
        <w:ind w:left="2880" w:hanging="360"/>
      </w:pPr>
    </w:lvl>
    <w:lvl w:ilvl="4" w:tplc="7A14EA1A">
      <w:start w:val="1"/>
      <w:numFmt w:val="bullet"/>
      <w:lvlText w:val="○"/>
      <w:lvlJc w:val="left"/>
      <w:pPr>
        <w:ind w:left="3600" w:hanging="360"/>
      </w:pPr>
    </w:lvl>
    <w:lvl w:ilvl="5" w:tplc="963CF67C">
      <w:start w:val="1"/>
      <w:numFmt w:val="bullet"/>
      <w:lvlText w:val="■"/>
      <w:lvlJc w:val="left"/>
      <w:pPr>
        <w:ind w:left="4320" w:hanging="360"/>
      </w:pPr>
    </w:lvl>
    <w:lvl w:ilvl="6" w:tplc="80F489D8">
      <w:start w:val="1"/>
      <w:numFmt w:val="bullet"/>
      <w:lvlText w:val="●"/>
      <w:lvlJc w:val="left"/>
      <w:pPr>
        <w:ind w:left="5040" w:hanging="360"/>
      </w:pPr>
    </w:lvl>
    <w:lvl w:ilvl="7" w:tplc="A79697BE">
      <w:start w:val="1"/>
      <w:numFmt w:val="bullet"/>
      <w:lvlText w:val="●"/>
      <w:lvlJc w:val="left"/>
      <w:pPr>
        <w:ind w:left="5760" w:hanging="360"/>
      </w:pPr>
    </w:lvl>
    <w:lvl w:ilvl="8" w:tplc="B7CEFB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244"/>
    <w:rsid w:val="00107D72"/>
    <w:rsid w:val="00256D8B"/>
    <w:rsid w:val="003008C7"/>
    <w:rsid w:val="003044EB"/>
    <w:rsid w:val="00324BFF"/>
    <w:rsid w:val="003E5B4E"/>
    <w:rsid w:val="00425F53"/>
    <w:rsid w:val="004521FA"/>
    <w:rsid w:val="00455CDB"/>
    <w:rsid w:val="00496B9A"/>
    <w:rsid w:val="004B1407"/>
    <w:rsid w:val="004E7365"/>
    <w:rsid w:val="00500D2A"/>
    <w:rsid w:val="00583112"/>
    <w:rsid w:val="005C5850"/>
    <w:rsid w:val="005D0107"/>
    <w:rsid w:val="006B1A9C"/>
    <w:rsid w:val="007A7B7D"/>
    <w:rsid w:val="007B516D"/>
    <w:rsid w:val="008413C7"/>
    <w:rsid w:val="00945FAB"/>
    <w:rsid w:val="00951C72"/>
    <w:rsid w:val="009623B7"/>
    <w:rsid w:val="009B14CE"/>
    <w:rsid w:val="009E77C5"/>
    <w:rsid w:val="00A1122F"/>
    <w:rsid w:val="00A730CE"/>
    <w:rsid w:val="00A80AA3"/>
    <w:rsid w:val="00A84B41"/>
    <w:rsid w:val="00A91096"/>
    <w:rsid w:val="00AD129F"/>
    <w:rsid w:val="00B07F3C"/>
    <w:rsid w:val="00B32244"/>
    <w:rsid w:val="00B66A5A"/>
    <w:rsid w:val="00BB1E28"/>
    <w:rsid w:val="00C833D1"/>
    <w:rsid w:val="00D15D97"/>
    <w:rsid w:val="00D237CA"/>
    <w:rsid w:val="00DA7F01"/>
    <w:rsid w:val="00DD1BC6"/>
    <w:rsid w:val="00E36364"/>
    <w:rsid w:val="00E621E4"/>
    <w:rsid w:val="00E6484A"/>
    <w:rsid w:val="00E8154D"/>
    <w:rsid w:val="00EA75E8"/>
    <w:rsid w:val="00EB5A8C"/>
    <w:rsid w:val="00F23725"/>
    <w:rsid w:val="00FB05EA"/>
    <w:rsid w:val="00FC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60D2E1-7C20-471F-98B3-3382603E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9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Wen</cp:lastModifiedBy>
  <cp:revision>49</cp:revision>
  <dcterms:created xsi:type="dcterms:W3CDTF">2026-04-15T04:06:00Z</dcterms:created>
  <dcterms:modified xsi:type="dcterms:W3CDTF">2026-04-15T04:35:00Z</dcterms:modified>
</cp:coreProperties>
</file>