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caps/>
          <w:color w:val="757575"/>
          <w:sz w:val="28"/>
          <w:szCs w:val="28"/>
        </w:rPr>
        <w:t xml:space="preserve">BUSINESS PLAN</w:t>
      </w:r>
    </w:p>
    <w:p>
      <w:pPr>
        <w:spacing w:before="400"/>
      </w:pPr>
    </w:p>
    <w:p>
      <w:pPr>
        <w:jc w:val="center"/>
      </w:pPr>
      <w:r>
        <w:rPr>
          <w:rFonts w:ascii="Arial" w:cs="Arial" w:eastAsia="Arial" w:hAnsi="Arial"/>
          <w:b/>
          <w:bCs/>
          <w:color w:val="1B5E20"/>
          <w:sz w:val="56"/>
          <w:szCs w:val="56"/>
        </w:rPr>
        <w:t xml:space="preserve">REBLOOM COLLECTIVE</w:t>
      </w:r>
    </w:p>
    <w:p>
      <w:pPr>
        <w:spacing w:before="200"/>
      </w:pPr>
    </w:p>
    <w:p>
      <w:pPr>
        <w:jc w:val="center"/>
      </w:pPr>
      <w:r>
        <w:rPr>
          <w:rFonts w:ascii="Arial" w:cs="Arial" w:eastAsia="Arial" w:hAnsi="Arial"/>
          <w:color w:val="2E7D32"/>
          <w:sz w:val="28"/>
          <w:szCs w:val="28"/>
        </w:rPr>
        <w:t xml:space="preserve">Gender-Based Violence Survivor Rehabilitation</w:t>
      </w:r>
    </w:p>
    <w:p>
      <w:pPr>
        <w:jc w:val="center"/>
      </w:pPr>
      <w:r>
        <w:rPr>
          <w:rFonts w:ascii="Arial" w:cs="Arial" w:eastAsia="Arial" w:hAnsi="Arial"/>
          <w:color w:val="2E7D32"/>
          <w:sz w:val="28"/>
          <w:szCs w:val="28"/>
        </w:rPr>
        <w:t xml:space="preserve">&amp; Green Livelihood Training Center</w:t>
      </w:r>
    </w:p>
    <w:p>
      <w:pPr>
        <w:spacing w:before="6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1B5E20" w:sz="4"/>
              <w:left w:val="none" w:color="FFFFFF" w:sz="0"/>
              <w:bottom w:val="none" w:color="FFFFFF" w:sz="0"/>
              <w:right w:val="none" w:color="FFFFFF" w:sz="0"/>
            </w:tcBorders>
          </w:tcPr>
          <w:p>
            <w:pPr>
              <w:jc w:val="center"/>
            </w:pPr>
            <w:r>
              <w:rPr>
                <w:rFonts w:ascii="Arial" w:cs="Arial" w:eastAsia="Arial" w:hAnsi="Arial"/>
                <w:i/>
                <w:iCs/>
                <w:color w:val="E65100"/>
                <w:sz w:val="24"/>
                <w:szCs w:val="24"/>
              </w:rPr>
              <w:t xml:space="preserve">Healing Survivors. Empowering Women. Protecting the Planet.</w:t>
            </w:r>
          </w:p>
        </w:tc>
      </w:tr>
    </w:tbl>
    <w:p>
      <w:pPr>
        <w:spacing w:before="1500"/>
      </w:pPr>
    </w:p>
    <w:p>
      <w:pPr>
        <w:jc w:val="center"/>
      </w:pPr>
      <w:r>
        <w:rPr>
          <w:rFonts w:ascii="Arial" w:cs="Arial" w:eastAsia="Arial" w:hAnsi="Arial"/>
          <w:color w:val="212121"/>
          <w:sz w:val="22"/>
          <w:szCs w:val="22"/>
        </w:rPr>
        <w:t xml:space="preserve">Prepared by:</w:t>
      </w:r>
    </w:p>
    <w:p>
      <w:pPr>
        <w:jc w:val="center"/>
      </w:pPr>
      <w:r>
        <w:rPr>
          <w:rFonts w:ascii="Arial" w:cs="Arial" w:eastAsia="Arial" w:hAnsi="Arial"/>
          <w:b/>
          <w:bCs/>
          <w:color w:val="1B5E20"/>
          <w:sz w:val="28"/>
          <w:szCs w:val="28"/>
        </w:rPr>
        <w:t xml:space="preserve">Kevin Aujo</w:t>
      </w:r>
    </w:p>
    <w:p>
      <w:pPr>
        <w:jc w:val="center"/>
      </w:pPr>
      <w:r>
        <w:rPr>
          <w:rFonts w:ascii="Arial" w:cs="Arial" w:eastAsia="Arial" w:hAnsi="Arial"/>
          <w:color w:val="757575"/>
          <w:sz w:val="20"/>
          <w:szCs w:val="20"/>
        </w:rPr>
        <w:t xml:space="preserve">MPH (Uganda Martyrs University) | BSWASA (Kyambogo University)</w:t>
      </w:r>
    </w:p>
    <w:p>
      <w:pPr>
        <w:spacing w:before="400"/>
      </w:pPr>
    </w:p>
    <w:p>
      <w:pPr>
        <w:jc w:val="center"/>
      </w:pPr>
      <w:r>
        <w:rPr>
          <w:rFonts w:ascii="Arial" w:cs="Arial" w:eastAsia="Arial" w:hAnsi="Arial"/>
          <w:color w:val="212121"/>
          <w:sz w:val="22"/>
          <w:szCs w:val="22"/>
        </w:rPr>
        <w:t xml:space="preserve">Pallisa District, Eastern Uganda</w:t>
      </w:r>
    </w:p>
    <w:p>
      <w:pPr>
        <w:jc w:val="center"/>
      </w:pPr>
      <w:r>
        <w:rPr>
          <w:rFonts w:ascii="Arial" w:cs="Arial" w:eastAsia="Arial" w:hAnsi="Arial"/>
          <w:color w:val="757575"/>
          <w:sz w:val="20"/>
          <w:szCs w:val="20"/>
        </w:rPr>
        <w:t xml:space="preserve">kevinaujo@gmail.com | +256 788 798 353</w:t>
      </w:r>
    </w:p>
    <w:p>
      <w:pPr>
        <w:spacing w:before="800"/>
      </w:pPr>
    </w:p>
    <w:p>
      <w:pPr>
        <w:jc w:val="center"/>
      </w:pPr>
      <w:r>
        <w:rPr>
          <w:rFonts w:ascii="Arial" w:cs="Arial" w:eastAsia="Arial" w:hAnsi="Arial"/>
          <w:b/>
          <w:bCs/>
          <w:color w:val="E65100"/>
          <w:sz w:val="24"/>
          <w:szCs w:val="24"/>
        </w:rPr>
        <w:t xml:space="preserve">WE4A Programme Application</w:t>
      </w:r>
    </w:p>
    <w:p>
      <w:pPr>
        <w:jc w:val="center"/>
      </w:pPr>
      <w:r>
        <w:rPr>
          <w:rFonts w:ascii="Arial" w:cs="Arial" w:eastAsia="Arial" w:hAnsi="Arial"/>
          <w:color w:val="212121"/>
          <w:sz w:val="22"/>
          <w:szCs w:val="22"/>
        </w:rPr>
        <w:t xml:space="preserve">Seed Capital Request: $5,000</w:t>
      </w:r>
    </w:p>
    <w:p>
      <w:pPr>
        <w:spacing w:before="400"/>
        <w:jc w:val="center"/>
      </w:pPr>
      <w:r>
        <w:rPr>
          <w:rFonts w:ascii="Arial" w:cs="Arial" w:eastAsia="Arial" w:hAnsi="Arial"/>
          <w:color w:val="757575"/>
          <w:sz w:val="20"/>
          <w:szCs w:val="20"/>
        </w:rPr>
        <w:t xml:space="preserve">January 2025</w:t>
      </w:r>
    </w:p>
    <w:p>
      <w:r>
        <w:br w:type="page"/>
      </w:r>
    </w:p>
    <w:p>
      <w:pPr>
        <w:pStyle w:val="Heading1"/>
        <w:spacing w:before="400" w:after="200"/>
      </w:pPr>
      <w:r>
        <w:rPr>
          <w:rFonts w:ascii="Arial" w:cs="Arial" w:eastAsia="Arial" w:hAnsi="Arial"/>
          <w:b/>
          <w:bCs/>
          <w:color w:val="1B5E2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B5E20"/>
          <w:sz w:val="32"/>
          <w:szCs w:val="32"/>
        </w:rPr>
        <w:t xml:space="preserve">1. 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3"/>
              <w:left w:val="single" w:color="1B5E20" w:sz="3"/>
              <w:bottom w:val="single" w:color="1B5E20" w:sz="3"/>
              <w:right w:val="single" w:color="1B5E20" w:sz="3"/>
            </w:tcBorders>
            <w:shd w:fill="F5F5F5" w:val="clear"/>
            <w:tcMar>
              <w:top w:type="dxa" w:w="150"/>
              <w:left w:type="dxa" w:w="200"/>
              <w:bottom w:type="dxa" w:w="150"/>
              <w:right w:type="dxa" w:w="200"/>
            </w:tcMar>
          </w:tcPr>
          <w:p>
            <w:pPr>
              <w:spacing w:after="100"/>
            </w:pPr>
            <w:r>
              <w:rPr>
                <w:rFonts w:ascii="Arial" w:cs="Arial" w:eastAsia="Arial" w:hAnsi="Arial"/>
                <w:b/>
                <w:bCs/>
                <w:color w:val="1B5E20"/>
                <w:sz w:val="24"/>
                <w:szCs w:val="24"/>
              </w:rPr>
              <w:t xml:space="preserve">THE OPPORTUNITY</w:t>
            </w:r>
          </w:p>
          <w:p>
            <w:r>
              <w:rPr>
                <w:rFonts w:ascii="Arial" w:cs="Arial" w:eastAsia="Arial" w:hAnsi="Arial"/>
                <w:color w:val="212121"/>
                <w:sz w:val="22"/>
                <w:szCs w:val="22"/>
              </w:rPr>
              <w:t xml:space="preserve">Bukedi sub-region in Eastern Uganda faces a devastating intersection of gender-based violence (37.1% sexual violence rate - 123% above national average) and period poverty (65% of girls cannot afford menstrual products). 58% of GBV survivors tell no one about their abuse - the highest silence rate in Uganda. There are ZERO reusable menstrual pad manufacturers within 300km. Rebloom Collective addresses both crises through an integrated survivor rehabilitation and green enterprise model.</w:t>
            </w:r>
          </w:p>
        </w:tc>
      </w:tr>
    </w:tbl>
    <w:p>
      <w:pPr>
        <w:spacing w:before="200"/>
      </w:pPr>
    </w:p>
    <w:p>
      <w:pPr>
        <w:spacing w:before="120" w:after="120"/>
        <w:jc w:val="both"/>
      </w:pPr>
      <w:r>
        <w:rPr>
          <w:rFonts w:ascii="Arial" w:cs="Arial" w:eastAsia="Arial" w:hAnsi="Arial"/>
          <w:color w:val="212121"/>
          <w:sz w:val="22"/>
          <w:szCs w:val="22"/>
        </w:rPr>
        <w:t xml:space="preserve">Rebloom Collective is a social enterprise that places GBV survivor rehabilitation at its core, using green livelihood training in reusable menstrual pad production as the pathway to economic independence. Our integrated model breaks the cycle where women remain in abusive situations due to economic dependence - research shows 47% of Ugandan women face economic violence from partners.</w:t>
      </w:r>
    </w:p>
    <w:p>
      <w:pPr>
        <w:pStyle w:val="Heading2"/>
        <w:spacing w:before="300" w:after="150"/>
      </w:pPr>
      <w:r>
        <w:rPr>
          <w:rFonts w:ascii="Arial" w:cs="Arial" w:eastAsia="Arial" w:hAnsi="Arial"/>
          <w:b/>
          <w:bCs/>
          <w:color w:val="2E7D32"/>
          <w:sz w:val="26"/>
          <w:szCs w:val="26"/>
        </w:rPr>
        <w:t xml:space="preserve">Our Three-Pillar Model</w:t>
      </w:r>
    </w:p>
    <w:p>
      <w:pPr>
        <w:spacing w:before="120" w:after="120"/>
        <w:jc w:val="both"/>
      </w:pPr>
      <w:r>
        <w:rPr>
          <w:rFonts w:ascii="Arial" w:cs="Arial" w:eastAsia="Arial" w:hAnsi="Arial"/>
          <w:color w:val="212121"/>
          <w:sz w:val="22"/>
          <w:szCs w:val="22"/>
        </w:rPr>
        <w:t xml:space="preserve">The GBV Rehabilitation Center serves as our umbrella activity, providing trauma-informed counseling, psychosocial support, and skills training. Within this rehabilitation framework, we operate two supporting activities: Rebloom Pads production (creating sustainable employment for survivors) and the Community Health Entrepreneur (CHE) Network (providing last-mile distribution while creating additional income opportunities for women).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FFEBEE" w:val="clear"/>
            <w:tcMar>
              <w:top w:type="dxa" w:w="100"/>
              <w:left w:type="dxa" w:w="80"/>
              <w:bottom w:type="dxa" w:w="100"/>
              <w:right w:type="dxa" w:w="80"/>
            </w:tcMar>
          </w:tcPr>
          <w:p>
            <w:pPr>
              <w:jc w:val="center"/>
            </w:pPr>
            <w:r>
              <w:rPr>
                <w:rFonts w:ascii="Arial" w:cs="Arial" w:eastAsia="Arial" w:hAnsi="Arial"/>
                <w:b/>
                <w:bCs/>
                <w:color w:val="B71C1C"/>
                <w:sz w:val="32"/>
                <w:szCs w:val="32"/>
              </w:rPr>
              <w:t xml:space="preserve">50+</w:t>
            </w:r>
          </w:p>
          <w:p>
            <w:pPr>
              <w:jc w:val="center"/>
            </w:pPr>
            <w:r>
              <w:rPr>
                <w:rFonts w:ascii="Arial" w:cs="Arial" w:eastAsia="Arial" w:hAnsi="Arial"/>
                <w:color w:val="757575"/>
                <w:sz w:val="18"/>
                <w:szCs w:val="18"/>
              </w:rPr>
              <w:t xml:space="preserve">GBV Survivors Year 1</w:t>
            </w:r>
          </w:p>
        </w:tc>
        <w:tc>
          <w:tcPr>
            <w:tcW w:type="dxa" w:w="2256"/>
            <w:tcBorders>
              <w:top w:val="none" w:color="FFFFFF" w:sz="0"/>
              <w:left w:val="none" w:color="FFFFFF" w:sz="0"/>
              <w:bottom w:val="none" w:color="FFFFFF" w:sz="0"/>
              <w:right w:val="none" w:color="FFFFFF" w:sz="0"/>
            </w:tcBorders>
            <w:shd w:fill="E8F5E9" w:val="clear"/>
            <w:tcMar>
              <w:top w:type="dxa" w:w="100"/>
              <w:left w:type="dxa" w:w="80"/>
              <w:bottom w:type="dxa" w:w="100"/>
              <w:right w:type="dxa" w:w="80"/>
            </w:tcMar>
          </w:tcPr>
          <w:p>
            <w:pPr>
              <w:jc w:val="center"/>
            </w:pPr>
            <w:r>
              <w:rPr>
                <w:rFonts w:ascii="Arial" w:cs="Arial" w:eastAsia="Arial" w:hAnsi="Arial"/>
                <w:b/>
                <w:bCs/>
                <w:color w:val="1B5E20"/>
                <w:sz w:val="32"/>
                <w:szCs w:val="32"/>
              </w:rPr>
              <w:t xml:space="preserve">$14,460</w:t>
            </w:r>
          </w:p>
          <w:p>
            <w:pPr>
              <w:jc w:val="center"/>
            </w:pPr>
            <w:r>
              <w:rPr>
                <w:rFonts w:ascii="Arial" w:cs="Arial" w:eastAsia="Arial" w:hAnsi="Arial"/>
                <w:color w:val="757575"/>
                <w:sz w:val="18"/>
                <w:szCs w:val="18"/>
              </w:rPr>
              <w:t xml:space="preserve">Year 1 Revenue</w:t>
            </w:r>
          </w:p>
        </w:tc>
        <w:tc>
          <w:tcPr>
            <w:tcW w:type="dxa" w:w="2256"/>
            <w:tcBorders>
              <w:top w:val="none" w:color="FFFFFF" w:sz="0"/>
              <w:left w:val="none" w:color="FFFFFF" w:sz="0"/>
              <w:bottom w:val="none" w:color="FFFFFF" w:sz="0"/>
              <w:right w:val="none" w:color="FFFFFF" w:sz="0"/>
            </w:tcBorders>
            <w:shd w:fill="E3F2FD" w:val="clear"/>
            <w:tcMar>
              <w:top w:type="dxa" w:w="100"/>
              <w:left w:type="dxa" w:w="80"/>
              <w:bottom w:type="dxa" w:w="100"/>
              <w:right w:type="dxa" w:w="80"/>
            </w:tcMar>
          </w:tcPr>
          <w:p>
            <w:pPr>
              <w:jc w:val="center"/>
            </w:pPr>
            <w:r>
              <w:rPr>
                <w:rFonts w:ascii="Arial" w:cs="Arial" w:eastAsia="Arial" w:hAnsi="Arial"/>
                <w:b/>
                <w:bCs/>
                <w:color w:val="0D47A1"/>
                <w:sz w:val="32"/>
                <w:szCs w:val="32"/>
              </w:rPr>
              <w:t xml:space="preserve">Month 8</w:t>
            </w:r>
          </w:p>
          <w:p>
            <w:pPr>
              <w:jc w:val="center"/>
            </w:pPr>
            <w:r>
              <w:rPr>
                <w:rFonts w:ascii="Arial" w:cs="Arial" w:eastAsia="Arial" w:hAnsi="Arial"/>
                <w:color w:val="757575"/>
                <w:sz w:val="18"/>
                <w:szCs w:val="18"/>
              </w:rPr>
              <w:t xml:space="preserve">Break-Even</w:t>
            </w:r>
          </w:p>
        </w:tc>
        <w:tc>
          <w:tcPr>
            <w:tcW w:type="dxa" w:w="2256"/>
            <w:tcBorders>
              <w:top w:val="none" w:color="FFFFFF" w:sz="0"/>
              <w:left w:val="none" w:color="FFFFFF" w:sz="0"/>
              <w:bottom w:val="none" w:color="FFFFFF" w:sz="0"/>
              <w:right w:val="none" w:color="FFFFFF" w:sz="0"/>
            </w:tcBorders>
            <w:shd w:fill="FFF3E0" w:val="clear"/>
            <w:tcMar>
              <w:top w:type="dxa" w:w="100"/>
              <w:left w:type="dxa" w:w="80"/>
              <w:bottom w:type="dxa" w:w="100"/>
              <w:right w:type="dxa" w:w="80"/>
            </w:tcMar>
          </w:tcPr>
          <w:p>
            <w:pPr>
              <w:jc w:val="center"/>
            </w:pPr>
            <w:r>
              <w:rPr>
                <w:rFonts w:ascii="Arial" w:cs="Arial" w:eastAsia="Arial" w:hAnsi="Arial"/>
                <w:b/>
                <w:bCs/>
                <w:color w:val="E65100"/>
                <w:sz w:val="32"/>
                <w:szCs w:val="32"/>
              </w:rPr>
              <w:t xml:space="preserve">289%</w:t>
            </w:r>
          </w:p>
          <w:p>
            <w:pPr>
              <w:jc w:val="center"/>
            </w:pPr>
            <w:r>
              <w:rPr>
                <w:rFonts w:ascii="Arial" w:cs="Arial" w:eastAsia="Arial" w:hAnsi="Arial"/>
                <w:color w:val="757575"/>
                <w:sz w:val="18"/>
                <w:szCs w:val="18"/>
              </w:rPr>
              <w:t xml:space="preserve">3-Year ROI</w:t>
            </w:r>
          </w:p>
        </w:tc>
      </w:tr>
    </w:tbl>
    <w:p>
      <w:pPr>
        <w:pStyle w:val="Heading2"/>
        <w:spacing w:before="300" w:after="150"/>
      </w:pPr>
      <w:r>
        <w:rPr>
          <w:rFonts w:ascii="Arial" w:cs="Arial" w:eastAsia="Arial" w:hAnsi="Arial"/>
          <w:b/>
          <w:bCs/>
          <w:color w:val="2E7D32"/>
          <w:sz w:val="26"/>
          <w:szCs w:val="26"/>
        </w:rPr>
        <w:t xml:space="preserve">Funding Request</w:t>
      </w:r>
    </w:p>
    <w:p>
      <w:pPr>
        <w:spacing w:before="120" w:after="120"/>
        <w:jc w:val="both"/>
      </w:pPr>
      <w:r>
        <w:rPr>
          <w:rFonts w:ascii="Arial" w:cs="Arial" w:eastAsia="Arial" w:hAnsi="Arial"/>
          <w:color w:val="212121"/>
          <w:sz w:val="22"/>
          <w:szCs w:val="22"/>
        </w:rPr>
        <w:t xml:space="preserve">We are seeking $5,000 in WE4A seed capital to establish our GBV Rehabilitation Center, launch Rebloom Pads production, and build our CHE distribution network. This investment will rehabilitate 50+ survivors, create 15+ jobs, reach 750+ girls with affordable menstrual products, and prevent 150,000+ disposable pads from entering the environment in Year 1 alone.</w:t>
      </w:r>
    </w:p>
    <w:p>
      <w:pPr>
        <w:pStyle w:val="Heading2"/>
        <w:spacing w:before="300" w:after="150"/>
      </w:pPr>
      <w:r>
        <w:rPr>
          <w:rFonts w:ascii="Arial" w:cs="Arial" w:eastAsia="Arial" w:hAnsi="Arial"/>
          <w:b/>
          <w:bCs/>
          <w:color w:val="2E7D32"/>
          <w:sz w:val="26"/>
          <w:szCs w:val="26"/>
        </w:rPr>
        <w:t xml:space="preserve">Competitive Advantage</w:t>
      </w:r>
    </w:p>
    <w:p>
      <w:pPr>
        <w:pStyle w:val="ListParagraph"/>
        <w:numPr>
          <w:ilvl w:val="0"/>
          <w:numId w:val="2"/>
        </w:numPr>
        <w:spacing w:before="100" w:after="80"/>
      </w:pPr>
      <w:r>
        <w:rPr>
          <w:rFonts w:ascii="Arial" w:cs="Arial" w:eastAsia="Arial" w:hAnsi="Arial"/>
          <w:sz w:val="22"/>
          <w:szCs w:val="22"/>
        </w:rPr>
        <w:t xml:space="preserve">First and only reusable menstrual pad producer in Bukedi sub-region (nearest competitor 300km away)</w:t>
      </w:r>
    </w:p>
    <w:p>
      <w:pPr>
        <w:pStyle w:val="ListParagraph"/>
        <w:numPr>
          <w:ilvl w:val="0"/>
          <w:numId w:val="2"/>
        </w:numPr>
        <w:spacing w:before="80" w:after="80"/>
      </w:pPr>
      <w:r>
        <w:rPr>
          <w:rFonts w:ascii="Arial" w:cs="Arial" w:eastAsia="Arial" w:hAnsi="Arial"/>
          <w:sz w:val="22"/>
          <w:szCs w:val="22"/>
        </w:rPr>
        <w:t xml:space="preserve">Founder with unique combination: MPH + BSWASA + GBV experience + established CHW networks</w:t>
      </w:r>
    </w:p>
    <w:p>
      <w:pPr>
        <w:pStyle w:val="ListParagraph"/>
        <w:numPr>
          <w:ilvl w:val="0"/>
          <w:numId w:val="2"/>
        </w:numPr>
        <w:spacing w:before="80" w:after="80"/>
      </w:pPr>
      <w:r>
        <w:rPr>
          <w:rFonts w:ascii="Arial" w:cs="Arial" w:eastAsia="Arial" w:hAnsi="Arial"/>
          <w:sz w:val="22"/>
          <w:szCs w:val="22"/>
        </w:rPr>
        <w:t xml:space="preserve">Native Ateso speaker with deep community relationships and cultural understanding</w:t>
      </w:r>
    </w:p>
    <w:p>
      <w:pPr>
        <w:pStyle w:val="ListParagraph"/>
        <w:numPr>
          <w:ilvl w:val="0"/>
          <w:numId w:val="2"/>
        </w:numPr>
        <w:spacing w:before="80" w:after="100"/>
      </w:pPr>
      <w:r>
        <w:rPr>
          <w:rFonts w:ascii="Arial" w:cs="Arial" w:eastAsia="Arial" w:hAnsi="Arial"/>
          <w:sz w:val="22"/>
          <w:szCs w:val="22"/>
        </w:rPr>
        <w:t xml:space="preserve">Integrated model addressing both GBV rehabilitation AND economic empowerment simultaneously</w:t>
      </w:r>
    </w:p>
    <w:p>
      <w:r>
        <w:br w:type="page"/>
      </w:r>
    </w:p>
    <w:p>
      <w:pPr>
        <w:pStyle w:val="Heading1"/>
        <w:spacing w:before="400" w:after="200"/>
      </w:pPr>
      <w:r>
        <w:rPr>
          <w:rFonts w:ascii="Arial" w:cs="Arial" w:eastAsia="Arial" w:hAnsi="Arial"/>
          <w:b/>
          <w:bCs/>
          <w:color w:val="1B5E20"/>
          <w:sz w:val="32"/>
          <w:szCs w:val="32"/>
        </w:rPr>
        <w:t xml:space="preserve">2. Company Overview</w:t>
      </w:r>
    </w:p>
    <w:p>
      <w:pPr>
        <w:pStyle w:val="Heading2"/>
        <w:spacing w:before="300" w:after="150"/>
      </w:pPr>
      <w:r>
        <w:rPr>
          <w:rFonts w:ascii="Arial" w:cs="Arial" w:eastAsia="Arial" w:hAnsi="Arial"/>
          <w:b/>
          <w:bCs/>
          <w:color w:val="2E7D32"/>
          <w:sz w:val="26"/>
          <w:szCs w:val="26"/>
        </w:rPr>
        <w:t xml:space="preserve">2.1 Mission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3"/>
              <w:left w:val="single" w:color="2E7D32" w:sz="3"/>
              <w:bottom w:val="single" w:color="2E7D32" w:sz="3"/>
              <w:right w:val="single" w:color="2E7D32" w:sz="3"/>
            </w:tcBorders>
            <w:shd w:fill="F5F5F5" w:val="clear"/>
            <w:tcMar>
              <w:top w:type="dxa" w:w="150"/>
              <w:left w:type="dxa" w:w="200"/>
              <w:bottom w:type="dxa" w:w="150"/>
              <w:right w:type="dxa" w:w="200"/>
            </w:tcMar>
          </w:tcPr>
          <w:p>
            <w:pPr>
              <w:spacing w:after="100"/>
            </w:pPr>
            <w:r>
              <w:rPr>
                <w:rFonts w:ascii="Arial" w:cs="Arial" w:eastAsia="Arial" w:hAnsi="Arial"/>
                <w:b/>
                <w:bCs/>
                <w:color w:val="2E7D32"/>
                <w:sz w:val="24"/>
                <w:szCs w:val="24"/>
              </w:rPr>
              <w:t xml:space="preserve">OUR MISSION</w:t>
            </w:r>
          </w:p>
          <w:p>
            <w:r>
              <w:rPr>
                <w:rFonts w:ascii="Arial" w:cs="Arial" w:eastAsia="Arial" w:hAnsi="Arial"/>
                <w:color w:val="212121"/>
                <w:sz w:val="22"/>
                <w:szCs w:val="22"/>
              </w:rPr>
              <w:t xml:space="preserve">To restore dignity, economic independence, and hope to GBV survivors through trauma-informed rehabilitation and green livelihood training, while addressing period poverty and environmental degradation in Eastern Uganda.</w:t>
            </w:r>
          </w:p>
        </w:tc>
      </w:tr>
    </w:tbl>
    <w:p>
      <w:pPr>
        <w:pStyle w:val="Heading2"/>
        <w:spacing w:before="300" w:after="150"/>
      </w:pPr>
      <w:r>
        <w:rPr>
          <w:rFonts w:ascii="Arial" w:cs="Arial" w:eastAsia="Arial" w:hAnsi="Arial"/>
          <w:b/>
          <w:bCs/>
          <w:color w:val="2E7D32"/>
          <w:sz w:val="26"/>
          <w:szCs w:val="26"/>
        </w:rPr>
        <w:t xml:space="preserve">2.2 Vision</w:t>
      </w:r>
    </w:p>
    <w:p>
      <w:pPr>
        <w:spacing w:before="120" w:after="120"/>
        <w:jc w:val="both"/>
      </w:pPr>
      <w:r>
        <w:rPr>
          <w:rFonts w:ascii="Arial" w:cs="Arial" w:eastAsia="Arial" w:hAnsi="Arial"/>
          <w:color w:val="212121"/>
          <w:sz w:val="22"/>
          <w:szCs w:val="22"/>
        </w:rPr>
        <w:t xml:space="preserve">A community where every GBV survivor has access to comprehensive rehabilitation services, meaningful employment, and the opportunity to become an agent of positive change for other women and girls.</w:t>
      </w:r>
    </w:p>
    <w:p>
      <w:pPr>
        <w:pStyle w:val="Heading2"/>
        <w:spacing w:before="300" w:after="150"/>
      </w:pPr>
      <w:r>
        <w:rPr>
          <w:rFonts w:ascii="Arial" w:cs="Arial" w:eastAsia="Arial" w:hAnsi="Arial"/>
          <w:b/>
          <w:bCs/>
          <w:color w:val="2E7D32"/>
          <w:sz w:val="26"/>
          <w:szCs w:val="26"/>
        </w:rPr>
        <w:t xml:space="preserve">2.3 Core Values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c>
          <w:tcPr>
            <w:tcW w:type="dxa" w:w="65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12121"/>
                <w:sz w:val="20"/>
                <w:szCs w:val="20"/>
              </w:rPr>
              <w:t xml:space="preserve">Survivor-Centered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All programs designed with and for survivors, respecting their agency and choices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12121"/>
                <w:sz w:val="20"/>
                <w:szCs w:val="20"/>
              </w:rPr>
              <w:t xml:space="preserve">Economic Justice</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Breaking the cycle of economic dependence that traps women in abusive situations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12121"/>
                <w:sz w:val="20"/>
                <w:szCs w:val="20"/>
              </w:rPr>
              <w:t xml:space="preserve">Environmental Stewardship</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Creating sustainable products that protect both women and the planet</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12121"/>
                <w:sz w:val="20"/>
                <w:szCs w:val="20"/>
              </w:rPr>
              <w:t xml:space="preserve">Community Integration</w:t>
            </w:r>
          </w:p>
        </w:tc>
        <w:tc>
          <w:tcPr>
            <w:tcW w:type="dxa" w:w="6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Working with traditional leaders and local structures for lasting change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12121"/>
                <w:sz w:val="20"/>
                <w:szCs w:val="20"/>
              </w:rPr>
              <w:t xml:space="preserve">Cultural Sensitivity</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Delivering services in local languages with respect for cultural practices</w:t>
            </w:r>
          </w:p>
        </w:tc>
      </w:tr>
    </w:tbl>
    <w:p>
      <w:pPr>
        <w:pStyle w:val="Heading2"/>
        <w:spacing w:before="300" w:after="150"/>
      </w:pPr>
      <w:r>
        <w:rPr>
          <w:rFonts w:ascii="Arial" w:cs="Arial" w:eastAsia="Arial" w:hAnsi="Arial"/>
          <w:b/>
          <w:bCs/>
          <w:color w:val="2E7D32"/>
          <w:sz w:val="26"/>
          <w:szCs w:val="26"/>
        </w:rPr>
        <w:t xml:space="preserve">2.4 Legal Structure</w:t>
      </w:r>
    </w:p>
    <w:p>
      <w:pPr>
        <w:spacing w:before="120" w:after="120"/>
        <w:jc w:val="both"/>
      </w:pPr>
      <w:r>
        <w:rPr>
          <w:rFonts w:ascii="Arial" w:cs="Arial" w:eastAsia="Arial" w:hAnsi="Arial"/>
          <w:color w:val="212121"/>
          <w:sz w:val="22"/>
          <w:szCs w:val="22"/>
        </w:rPr>
        <w:t xml:space="preserve">Rebloom Collective will be registered as a Community Based Organization (CBO) in Pallisa District, with plans to register as a social enterprise once operations are established. This structure allows us to receive grants and donations while generating sustainable revenue through product sales and services.</w:t>
      </w:r>
    </w:p>
    <w:p>
      <w:pPr>
        <w:pStyle w:val="Heading2"/>
        <w:spacing w:before="300" w:after="150"/>
      </w:pPr>
      <w:r>
        <w:rPr>
          <w:rFonts w:ascii="Arial" w:cs="Arial" w:eastAsia="Arial" w:hAnsi="Arial"/>
          <w:b/>
          <w:bCs/>
          <w:color w:val="2E7D32"/>
          <w:sz w:val="26"/>
          <w:szCs w:val="26"/>
        </w:rPr>
        <w:t xml:space="preserve">2.5 Location</w:t>
      </w:r>
    </w:p>
    <w:p>
      <w:pPr>
        <w:spacing w:before="120" w:after="120"/>
        <w:jc w:val="both"/>
      </w:pPr>
      <w:r>
        <w:rPr>
          <w:rFonts w:ascii="Arial" w:cs="Arial" w:eastAsia="Arial" w:hAnsi="Arial"/>
          <w:color w:val="212121"/>
          <w:sz w:val="22"/>
          <w:szCs w:val="22"/>
        </w:rPr>
        <w:t xml:space="preserve">Headquarters: Pallisa District, Bukedi Sub-region, Eastern Uganda. This strategic location places us at the center of a region with the highest GBV rates and poverty levels in Uganda, while being accessible to multiple districts for service delivery and product distribution.</w:t>
      </w:r>
    </w:p>
    <w:p>
      <w:r>
        <w:br w:type="page"/>
      </w:r>
    </w:p>
    <w:p>
      <w:pPr>
        <w:pStyle w:val="Heading1"/>
        <w:spacing w:before="400" w:after="200"/>
      </w:pPr>
      <w:r>
        <w:rPr>
          <w:rFonts w:ascii="Arial" w:cs="Arial" w:eastAsia="Arial" w:hAnsi="Arial"/>
          <w:b/>
          <w:bCs/>
          <w:color w:val="1B5E20"/>
          <w:sz w:val="32"/>
          <w:szCs w:val="32"/>
        </w:rPr>
        <w:t xml:space="preserve">3. Problem Statement &amp; Market Need</w:t>
      </w:r>
    </w:p>
    <w:p>
      <w:pPr>
        <w:pStyle w:val="Heading2"/>
        <w:spacing w:before="300" w:after="150"/>
      </w:pPr>
      <w:r>
        <w:rPr>
          <w:rFonts w:ascii="Arial" w:cs="Arial" w:eastAsia="Arial" w:hAnsi="Arial"/>
          <w:b/>
          <w:bCs/>
          <w:color w:val="2E7D32"/>
          <w:sz w:val="26"/>
          <w:szCs w:val="26"/>
        </w:rPr>
        <w:t xml:space="preserve">3.1 The GBV Crisis in Eastern Uganda</w:t>
      </w:r>
    </w:p>
    <w:p>
      <w:pPr>
        <w:spacing w:before="120" w:after="120"/>
        <w:jc w:val="both"/>
      </w:pPr>
      <w:r>
        <w:rPr>
          <w:rFonts w:ascii="Arial" w:cs="Arial" w:eastAsia="Arial" w:hAnsi="Arial"/>
          <w:color w:val="212121"/>
          <w:sz w:val="22"/>
          <w:szCs w:val="22"/>
        </w:rPr>
        <w:t xml:space="preserve">Gender-based violence in Bukedi sub-region has reached crisis proportions that demand urgent, integrated intervention. The statistics paint a devastating picture: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26"/>
      </w:tblGrid>
      <w:tr>
        <w:tc>
          <w:tcPr>
            <w:tcW w:type="dxa" w:w="2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Indicator</w:t>
            </w:r>
          </w:p>
        </w:tc>
        <w:tc>
          <w:tcPr>
            <w:tcW w:type="dxa" w:w="22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Bukedi/Eastern Uganda</w:t>
            </w:r>
          </w:p>
        </w:tc>
        <w:tc>
          <w:tcPr>
            <w:tcW w:type="dxa" w:w="20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National Average</w:t>
            </w:r>
          </w:p>
        </w:tc>
        <w:tc>
          <w:tcPr>
            <w:tcW w:type="dxa" w:w="20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Sexual Violence 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37.1%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22%</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UBOS VAWG Survey 2020</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GBV Survivors Who Tell No One</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58%</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~40%</w:t>
            </w:r>
          </w:p>
        </w:tc>
        <w:tc>
          <w:tcPr>
            <w:tcW w:type="dxa" w:w="2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UBOS VAWG Survey 2020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Intimate Partner Violence (IPV)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56%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56%</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Uganda DHS 2016</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Economic Violence from Partners</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47%</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47%</w:t>
            </w:r>
          </w:p>
        </w:tc>
        <w:tc>
          <w:tcPr>
            <w:tcW w:type="dxa" w:w="2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UBOS VAWG Survey 2020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Poverty Rate (Eastern Uganda)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35.7%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21.4%</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UBOS 2019/20</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GBV Cases Reported (2020)</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5,982</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w:t>
            </w:r>
          </w:p>
        </w:tc>
        <w:tc>
          <w:tcPr>
            <w:tcW w:type="dxa" w:w="2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UNFPA 2021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YoY Increase in GBV Cases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UNFPA 2021</w:t>
            </w:r>
          </w:p>
        </w:tc>
      </w:tr>
    </w:tbl>
    <w:p>
      <w:pPr>
        <w:pStyle w:val="Heading3"/>
        <w:spacing w:before="200" w:after="100"/>
      </w:pPr>
      <w:r>
        <w:rPr>
          <w:rFonts w:ascii="Arial" w:cs="Arial" w:eastAsia="Arial" w:hAnsi="Arial"/>
          <w:b/>
          <w:bCs/>
          <w:color w:val="0D47A1"/>
          <w:sz w:val="22"/>
          <w:szCs w:val="22"/>
        </w:rPr>
        <w:t xml:space="preserve">The Silence Crisis</w:t>
      </w:r>
    </w:p>
    <w:p>
      <w:pPr>
        <w:spacing w:before="120" w:after="120"/>
        <w:jc w:val="both"/>
      </w:pPr>
      <w:r>
        <w:rPr>
          <w:rFonts w:ascii="Arial" w:cs="Arial" w:eastAsia="Arial" w:hAnsi="Arial"/>
          <w:color w:val="212121"/>
          <w:sz w:val="22"/>
          <w:szCs w:val="22"/>
        </w:rPr>
        <w:t xml:space="preserve">The 58% silence rate in Bukedi - the highest in Uganda - means that survivors suffer in isolation without access to medical care, counseling, legal support, or pathways to economic independence. Cultural stigma, fear of retaliation, and economic dependence on abusers create a devastating cycle of silence and continued abuse.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3"/>
              <w:left w:val="single" w:color="B71C1C" w:sz="3"/>
              <w:bottom w:val="single" w:color="B71C1C" w:sz="3"/>
              <w:right w:val="single" w:color="B71C1C" w:sz="3"/>
            </w:tcBorders>
            <w:shd w:fill="F5F5F5" w:val="clear"/>
            <w:tcMar>
              <w:top w:type="dxa" w:w="150"/>
              <w:left w:type="dxa" w:w="200"/>
              <w:bottom w:type="dxa" w:w="150"/>
              <w:right w:type="dxa" w:w="200"/>
            </w:tcMar>
          </w:tcPr>
          <w:p>
            <w:pPr>
              <w:spacing w:after="100"/>
            </w:pPr>
            <w:r>
              <w:rPr>
                <w:rFonts w:ascii="Arial" w:cs="Arial" w:eastAsia="Arial" w:hAnsi="Arial"/>
                <w:b/>
                <w:bCs/>
                <w:color w:val="B71C1C"/>
                <w:sz w:val="24"/>
                <w:szCs w:val="24"/>
              </w:rPr>
              <w:t xml:space="preserve">SURVIVOR VOICE</w:t>
            </w:r>
          </w:p>
          <w:p>
            <w:r>
              <w:rPr>
                <w:rFonts w:ascii="Arial" w:cs="Arial" w:eastAsia="Arial" w:hAnsi="Arial"/>
                <w:color w:val="212121"/>
                <w:sz w:val="22"/>
                <w:szCs w:val="22"/>
              </w:rPr>
              <w:t xml:space="preserve">"I like him...he is the source of income. If I let him go to prison, I am not going to get any money." - Focus group participant, UBOS VAWG Survey. This quote captures the tragic reality: economic dependence keeps women trapped in violent relationships.</w:t>
            </w:r>
          </w:p>
        </w:tc>
      </w:tr>
    </w:tbl>
    <w:p>
      <w:pPr>
        <w:pStyle w:val="Heading2"/>
        <w:spacing w:before="300" w:after="150"/>
      </w:pPr>
      <w:r>
        <w:rPr>
          <w:rFonts w:ascii="Arial" w:cs="Arial" w:eastAsia="Arial" w:hAnsi="Arial"/>
          <w:b/>
          <w:bCs/>
          <w:color w:val="2E7D32"/>
          <w:sz w:val="26"/>
          <w:szCs w:val="26"/>
        </w:rPr>
        <w:t xml:space="preserve">3.2 The Period Poverty Connection</w:t>
      </w:r>
    </w:p>
    <w:p>
      <w:pPr>
        <w:spacing w:before="120" w:after="120"/>
        <w:jc w:val="both"/>
      </w:pPr>
      <w:r>
        <w:rPr>
          <w:rFonts w:ascii="Arial" w:cs="Arial" w:eastAsia="Arial" w:hAnsi="Arial"/>
          <w:color w:val="212121"/>
          <w:sz w:val="22"/>
          <w:szCs w:val="22"/>
        </w:rPr>
        <w:t xml:space="preserve">Period poverty and GBV are interconnected crises. When girls miss school during menstruation, they fall behind academically, increasing their vulnerability to early marriage and economic dependence. Research confirms:</w:t>
      </w:r>
    </w:p>
    <w:p>
      <w:pPr>
        <w:pStyle w:val="ListParagraph"/>
        <w:numPr>
          <w:ilvl w:val="0"/>
          <w:numId w:val="3"/>
        </w:numPr>
        <w:spacing w:before="150" w:after="80"/>
      </w:pPr>
      <w:r>
        <w:rPr>
          <w:rFonts w:ascii="Arial" w:cs="Arial" w:eastAsia="Arial" w:hAnsi="Arial"/>
          <w:sz w:val="22"/>
          <w:szCs w:val="22"/>
        </w:rPr>
        <w:t xml:space="preserve">28% of Ugandan girls miss school during menstruation (SNV 2017)</w:t>
      </w:r>
    </w:p>
    <w:p>
      <w:pPr>
        <w:pStyle w:val="ListParagraph"/>
        <w:numPr>
          <w:ilvl w:val="0"/>
          <w:numId w:val="3"/>
        </w:numPr>
        <w:spacing w:before="80" w:after="80"/>
      </w:pPr>
      <w:r>
        <w:rPr>
          <w:rFonts w:ascii="Arial" w:cs="Arial" w:eastAsia="Arial" w:hAnsi="Arial"/>
          <w:sz w:val="22"/>
          <w:szCs w:val="22"/>
        </w:rPr>
        <w:t xml:space="preserve">65% cannot afford menstrual products (Chaturvedi et al., Nature 2020)</w:t>
      </w:r>
    </w:p>
    <w:p>
      <w:pPr>
        <w:pStyle w:val="ListParagraph"/>
        <w:numPr>
          <w:ilvl w:val="0"/>
          <w:numId w:val="3"/>
        </w:numPr>
        <w:spacing w:before="80" w:after="80"/>
      </w:pPr>
      <w:r>
        <w:rPr>
          <w:rFonts w:ascii="Arial" w:cs="Arial" w:eastAsia="Arial" w:hAnsi="Arial"/>
          <w:sz w:val="22"/>
          <w:szCs w:val="22"/>
        </w:rPr>
        <w:t xml:space="preserve">85% resort to cloth, rags, or other unhygienic alternatives</w:t>
      </w:r>
    </w:p>
    <w:p>
      <w:pPr>
        <w:pStyle w:val="ListParagraph"/>
        <w:numPr>
          <w:ilvl w:val="0"/>
          <w:numId w:val="3"/>
        </w:numPr>
        <w:spacing w:before="80" w:after="80"/>
      </w:pPr>
      <w:r>
        <w:rPr>
          <w:rFonts w:ascii="Arial" w:cs="Arial" w:eastAsia="Arial" w:hAnsi="Arial"/>
          <w:sz w:val="22"/>
          <w:szCs w:val="22"/>
        </w:rPr>
        <w:t xml:space="preserve">23% of girls drop out of school entirely after menstruation begins</w:t>
      </w:r>
    </w:p>
    <w:p>
      <w:pPr>
        <w:pStyle w:val="ListParagraph"/>
        <w:numPr>
          <w:ilvl w:val="0"/>
          <w:numId w:val="3"/>
        </w:numPr>
        <w:spacing w:before="80" w:after="150"/>
      </w:pPr>
      <w:r>
        <w:rPr>
          <w:rFonts w:ascii="Arial" w:cs="Arial" w:eastAsia="Arial" w:hAnsi="Arial"/>
          <w:sz w:val="22"/>
          <w:szCs w:val="22"/>
        </w:rPr>
        <w:t xml:space="preserve">Parliament called for urgent budget allocation for menstrual health in Eastern region (June 2024)</w:t>
      </w:r>
    </w:p>
    <w:p>
      <w:pPr>
        <w:pStyle w:val="Heading2"/>
        <w:spacing w:before="300" w:after="150"/>
      </w:pPr>
      <w:r>
        <w:rPr>
          <w:rFonts w:ascii="Arial" w:cs="Arial" w:eastAsia="Arial" w:hAnsi="Arial"/>
          <w:b/>
          <w:bCs/>
          <w:color w:val="2E7D32"/>
          <w:sz w:val="26"/>
          <w:szCs w:val="26"/>
        </w:rPr>
        <w:t xml:space="preserve">3.3 The Market Gap</w:t>
      </w:r>
    </w:p>
    <w:p>
      <w:pPr>
        <w:spacing w:before="120" w:after="120"/>
        <w:jc w:val="both"/>
      </w:pPr>
      <w:r>
        <w:rPr>
          <w:rFonts w:ascii="Arial" w:cs="Arial" w:eastAsia="Arial" w:hAnsi="Arial"/>
          <w:color w:val="212121"/>
          <w:sz w:val="22"/>
          <w:szCs w:val="22"/>
        </w:rPr>
        <w:t xml:space="preserve">Despite this urgent need, there are ZERO reusable menstrual pad manufacturers in Bukedi sub-region or anywhere in Eastern Uganda. The nearest producers are:</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Producer</w:t>
            </w:r>
          </w:p>
        </w:tc>
        <w:tc>
          <w:tcPr>
            <w:tcW w:type="dxa" w:w="30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Location</w:t>
            </w:r>
          </w:p>
        </w:tc>
        <w:tc>
          <w:tcPr>
            <w:tcW w:type="dxa" w:w="30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Distance from Pallisa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AFRIpads (So Sure)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Masaka</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~300km (5-6 hours)</w:t>
            </w:r>
          </w:p>
        </w:tc>
      </w:tr>
      <w:tr>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EcoSmart Pads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Mbarara</w:t>
            </w:r>
          </w:p>
        </w:tc>
        <w:tc>
          <w:tcPr>
            <w:tcW w:type="dxa" w:w="3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~350km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Days for Girls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Kampala/Jinja</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~220km</w:t>
            </w:r>
          </w:p>
        </w:tc>
      </w:tr>
    </w:tbl>
    <w:p>
      <w:pPr>
        <w:spacing w:before="120" w:after="120"/>
        <w:jc w:val="both"/>
      </w:pPr>
      <w:r>
        <w:rPr>
          <w:rFonts w:ascii="Arial" w:cs="Arial" w:eastAsia="Arial" w:hAnsi="Arial"/>
          <w:color w:val="212121"/>
          <w:sz w:val="22"/>
          <w:szCs w:val="22"/>
        </w:rPr>
        <w:t xml:space="preserve">This geographic gap means high transport costs, inconsistent supply, and prices that remain unaffordable for the poorest communities - exactly where need is greatest.</w:t>
      </w:r>
    </w:p>
    <w:p>
      <w:r>
        <w:br w:type="page"/>
      </w:r>
    </w:p>
    <w:p>
      <w:pPr>
        <w:pStyle w:val="Heading1"/>
        <w:spacing w:before="400" w:after="200"/>
      </w:pPr>
      <w:r>
        <w:rPr>
          <w:rFonts w:ascii="Arial" w:cs="Arial" w:eastAsia="Arial" w:hAnsi="Arial"/>
          <w:b/>
          <w:bCs/>
          <w:color w:val="1B5E20"/>
          <w:sz w:val="32"/>
          <w:szCs w:val="32"/>
        </w:rPr>
        <w:t xml:space="preserve">4. Our Solution: The Rebloom Model</w:t>
      </w:r>
    </w:p>
    <w:p>
      <w:pPr>
        <w:spacing w:before="120" w:after="120"/>
        <w:jc w:val="both"/>
      </w:pPr>
      <w:r>
        <w:rPr>
          <w:rFonts w:ascii="Arial" w:cs="Arial" w:eastAsia="Arial" w:hAnsi="Arial"/>
          <w:color w:val="212121"/>
          <w:sz w:val="22"/>
          <w:szCs w:val="22"/>
        </w:rPr>
        <w:t xml:space="preserve">Rebloom Collective addresses the intersecting crises of GBV, period poverty, and environmental degradation through an integrated three-pillar model. The GBV Rehabilitation Center serves as our umbrella activity, with Rebloom Pads production and CHE distribution as supporting sub-activities that enable economic empowerment.</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3"/>
              <w:left w:val="single" w:color="1B5E20" w:sz="3"/>
              <w:bottom w:val="single" w:color="1B5E20" w:sz="3"/>
              <w:right w:val="single" w:color="1B5E20" w:sz="3"/>
            </w:tcBorders>
            <w:shd w:fill="F5F5F5" w:val="clear"/>
            <w:tcMar>
              <w:top w:type="dxa" w:w="150"/>
              <w:left w:type="dxa" w:w="200"/>
              <w:bottom w:type="dxa" w:w="150"/>
              <w:right w:type="dxa" w:w="200"/>
            </w:tcMar>
          </w:tcPr>
          <w:p>
            <w:pPr>
              <w:spacing w:after="100"/>
            </w:pPr>
            <w:r>
              <w:rPr>
                <w:rFonts w:ascii="Arial" w:cs="Arial" w:eastAsia="Arial" w:hAnsi="Arial"/>
                <w:b/>
                <w:bCs/>
                <w:color w:val="1B5E20"/>
                <w:sz w:val="24"/>
                <w:szCs w:val="24"/>
              </w:rPr>
              <w:t xml:space="preserve">THE REBLOOM MODEL</w:t>
            </w:r>
          </w:p>
          <w:p>
            <w:r>
              <w:rPr>
                <w:rFonts w:ascii="Arial" w:cs="Arial" w:eastAsia="Arial" w:hAnsi="Arial"/>
                <w:color w:val="212121"/>
                <w:sz w:val="22"/>
                <w:szCs w:val="22"/>
              </w:rPr>
              <w:t xml:space="preserve">UMBRELLA ACTIVITY: GBV Rehabilitation Center (Core Mission)
SUPPORTING ACTIVITY 1: Rebloom Pads Production (Livelihood Training &amp; Employment)
SUPPORTING ACTIVITY 2: CHE Distribution Network (Income Generation &amp; Community Reach)</w:t>
            </w:r>
          </w:p>
        </w:tc>
      </w:tr>
    </w:tbl>
    <w:p>
      <w:pPr>
        <w:pStyle w:val="Heading2"/>
        <w:spacing w:before="300" w:after="150"/>
      </w:pPr>
      <w:r>
        <w:rPr>
          <w:rFonts w:ascii="Arial" w:cs="Arial" w:eastAsia="Arial" w:hAnsi="Arial"/>
          <w:b/>
          <w:bCs/>
          <w:color w:val="2E7D32"/>
          <w:sz w:val="26"/>
          <w:szCs w:val="26"/>
        </w:rPr>
        <w:t xml:space="preserve">4.1 GBV Rehabilitation Center (Umbrella Activity)</w:t>
      </w:r>
    </w:p>
    <w:p>
      <w:pPr>
        <w:spacing w:before="120" w:after="120"/>
        <w:jc w:val="both"/>
      </w:pPr>
      <w:r>
        <w:rPr>
          <w:rFonts w:ascii="Arial" w:cs="Arial" w:eastAsia="Arial" w:hAnsi="Arial"/>
          <w:color w:val="212121"/>
          <w:sz w:val="22"/>
          <w:szCs w:val="22"/>
        </w:rPr>
        <w:t xml:space="preserve">The GBV Rehabilitation Center is the heart of Rebloom Collective. Every other activity exists to support our core mission: restoring dignity, healing, and economic independence to GBV survivors.</w:t>
      </w:r>
    </w:p>
    <w:p>
      <w:pPr>
        <w:pStyle w:val="Heading3"/>
        <w:spacing w:before="200" w:after="100"/>
      </w:pPr>
      <w:r>
        <w:rPr>
          <w:rFonts w:ascii="Arial" w:cs="Arial" w:eastAsia="Arial" w:hAnsi="Arial"/>
          <w:b/>
          <w:bCs/>
          <w:color w:val="0D47A1"/>
          <w:sz w:val="22"/>
          <w:szCs w:val="22"/>
        </w:rPr>
        <w:t xml:space="preserve">4.1.1 Trauma-Informed Counseling</w:t>
      </w:r>
    </w:p>
    <w:p>
      <w:pPr>
        <w:spacing w:before="120" w:after="120"/>
        <w:jc w:val="both"/>
      </w:pPr>
      <w:r>
        <w:rPr>
          <w:rFonts w:ascii="Arial" w:cs="Arial" w:eastAsia="Arial" w:hAnsi="Arial"/>
          <w:color w:val="212121"/>
          <w:sz w:val="22"/>
          <w:szCs w:val="22"/>
        </w:rPr>
        <w:t xml:space="preserve">All counseling services follow trauma-informed care principles, delivered in Ateso and Lugwere by trained counselors who understand local cultural contexts. Services include:</w:t>
      </w:r>
    </w:p>
    <w:p>
      <w:pPr>
        <w:pStyle w:val="ListParagraph"/>
        <w:numPr>
          <w:ilvl w:val="0"/>
          <w:numId w:val="4"/>
        </w:numPr>
        <w:spacing w:before="100" w:after="80"/>
      </w:pPr>
      <w:r>
        <w:rPr>
          <w:rFonts w:ascii="Arial" w:cs="Arial" w:eastAsia="Arial" w:hAnsi="Arial"/>
          <w:sz w:val="22"/>
          <w:szCs w:val="22"/>
        </w:rPr>
        <w:t xml:space="preserve">Individual counseling sessions with trained psychosocial support workers</w:t>
      </w:r>
    </w:p>
    <w:p>
      <w:pPr>
        <w:pStyle w:val="ListParagraph"/>
        <w:numPr>
          <w:ilvl w:val="0"/>
          <w:numId w:val="4"/>
        </w:numPr>
        <w:spacing w:before="80" w:after="80"/>
      </w:pPr>
      <w:r>
        <w:rPr>
          <w:rFonts w:ascii="Arial" w:cs="Arial" w:eastAsia="Arial" w:hAnsi="Arial"/>
          <w:sz w:val="22"/>
          <w:szCs w:val="22"/>
        </w:rPr>
        <w:t xml:space="preserve">Group therapy sessions creating peer support networks among survivors</w:t>
      </w:r>
    </w:p>
    <w:p>
      <w:pPr>
        <w:pStyle w:val="ListParagraph"/>
        <w:numPr>
          <w:ilvl w:val="0"/>
          <w:numId w:val="4"/>
        </w:numPr>
        <w:spacing w:before="80" w:after="80"/>
      </w:pPr>
      <w:r>
        <w:rPr>
          <w:rFonts w:ascii="Arial" w:cs="Arial" w:eastAsia="Arial" w:hAnsi="Arial"/>
          <w:sz w:val="22"/>
          <w:szCs w:val="22"/>
        </w:rPr>
        <w:t xml:space="preserve">Crisis intervention and safety planning for immediate needs</w:t>
      </w:r>
    </w:p>
    <w:p>
      <w:pPr>
        <w:pStyle w:val="ListParagraph"/>
        <w:numPr>
          <w:ilvl w:val="0"/>
          <w:numId w:val="4"/>
        </w:numPr>
        <w:spacing w:before="80" w:after="100"/>
      </w:pPr>
      <w:r>
        <w:rPr>
          <w:rFonts w:ascii="Arial" w:cs="Arial" w:eastAsia="Arial" w:hAnsi="Arial"/>
          <w:sz w:val="22"/>
          <w:szCs w:val="22"/>
        </w:rPr>
        <w:t xml:space="preserve">Referral pathways to medical care, legal services, and emergency shelter</w:t>
      </w:r>
    </w:p>
    <w:p>
      <w:pPr>
        <w:pStyle w:val="Heading3"/>
        <w:spacing w:before="200" w:after="100"/>
      </w:pPr>
      <w:r>
        <w:rPr>
          <w:rFonts w:ascii="Arial" w:cs="Arial" w:eastAsia="Arial" w:hAnsi="Arial"/>
          <w:b/>
          <w:bCs/>
          <w:color w:val="0D47A1"/>
          <w:sz w:val="22"/>
          <w:szCs w:val="22"/>
        </w:rPr>
        <w:t xml:space="preserve">4.1.2 The Survivor-to-Entrepreneur Pathway</w:t>
      </w:r>
    </w:p>
    <w:p>
      <w:pPr>
        <w:spacing w:before="120" w:after="120"/>
        <w:jc w:val="both"/>
      </w:pPr>
      <w:r>
        <w:rPr>
          <w:rFonts w:ascii="Arial" w:cs="Arial" w:eastAsia="Arial" w:hAnsi="Arial"/>
          <w:color w:val="212121"/>
          <w:sz w:val="22"/>
          <w:szCs w:val="22"/>
        </w:rPr>
        <w:t xml:space="preserve">Our rehabilitation model doesn't end with counseling - it creates a clear pathway from survivor to economically independent entrepreneur:</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26"/>
        <w:gridCol w:w="250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Stage</w:t>
            </w:r>
          </w:p>
        </w:tc>
        <w:tc>
          <w:tcPr>
            <w:tcW w:type="dxa" w:w="1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Duration</w:t>
            </w:r>
          </w:p>
        </w:tc>
        <w:tc>
          <w:tcPr>
            <w:tcW w:type="dxa" w:w="30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Activities</w:t>
            </w:r>
          </w:p>
        </w:tc>
        <w:tc>
          <w:tcPr>
            <w:tcW w:type="dxa" w:w="2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1. Referral &amp; Intake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Week 1</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Assessment, safety planning, immediate support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Enrolled in program</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2. Healing Phase</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Weeks 2-8</w:t>
            </w:r>
          </w:p>
        </w:tc>
        <w:tc>
          <w:tcPr>
            <w:tcW w:type="dxa" w:w="3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Counseling, group therapy, psychosocial support</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Trauma processing begins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3. Skills Training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Weeks 9-16</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Pad production training, quality control, business basics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Production-ready</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4. Employment</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Month 5+</w:t>
            </w:r>
          </w:p>
        </w:tc>
        <w:tc>
          <w:tcPr>
            <w:tcW w:type="dxa" w:w="3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Paid production work at Rebloom center</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Earning income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5. CHE Option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Month 9+</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Training as Community Health Entrepreneur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Independent business</w:t>
            </w:r>
          </w:p>
        </w:tc>
      </w:tr>
    </w:tbl>
    <w:p>
      <w:pPr>
        <w:pStyle w:val="Heading3"/>
        <w:spacing w:before="200" w:after="100"/>
      </w:pPr>
      <w:r>
        <w:rPr>
          <w:rFonts w:ascii="Arial" w:cs="Arial" w:eastAsia="Arial" w:hAnsi="Arial"/>
          <w:b/>
          <w:bCs/>
          <w:color w:val="0D47A1"/>
          <w:sz w:val="22"/>
          <w:szCs w:val="22"/>
        </w:rPr>
        <w:t xml:space="preserve">4.1.3 Community Reintegration Support</w:t>
      </w:r>
    </w:p>
    <w:p>
      <w:pPr>
        <w:spacing w:before="120" w:after="120"/>
        <w:jc w:val="both"/>
      </w:pPr>
      <w:r>
        <w:rPr>
          <w:rFonts w:ascii="Arial" w:cs="Arial" w:eastAsia="Arial" w:hAnsi="Arial"/>
          <w:color w:val="212121"/>
          <w:sz w:val="22"/>
          <w:szCs w:val="22"/>
        </w:rPr>
        <w:t xml:space="preserve">Many survivors face stigma and family rejection. Our community reintegration services include:</w:t>
      </w:r>
    </w:p>
    <w:p>
      <w:pPr>
        <w:pStyle w:val="ListParagraph"/>
        <w:numPr>
          <w:ilvl w:val="0"/>
          <w:numId w:val="5"/>
        </w:numPr>
        <w:spacing w:before="100" w:after="80"/>
      </w:pPr>
      <w:r>
        <w:rPr>
          <w:rFonts w:ascii="Arial" w:cs="Arial" w:eastAsia="Arial" w:hAnsi="Arial"/>
          <w:sz w:val="22"/>
          <w:szCs w:val="22"/>
        </w:rPr>
        <w:t xml:space="preserve">Family mediation and reconciliation support where safe and appropriate</w:t>
      </w:r>
    </w:p>
    <w:p>
      <w:pPr>
        <w:pStyle w:val="ListParagraph"/>
        <w:numPr>
          <w:ilvl w:val="0"/>
          <w:numId w:val="5"/>
        </w:numPr>
        <w:spacing w:before="80" w:after="80"/>
      </w:pPr>
      <w:r>
        <w:rPr>
          <w:rFonts w:ascii="Arial" w:cs="Arial" w:eastAsia="Arial" w:hAnsi="Arial"/>
          <w:sz w:val="22"/>
          <w:szCs w:val="22"/>
        </w:rPr>
        <w:t xml:space="preserve">Community dialogues facilitated by respected local leaders</w:t>
      </w:r>
    </w:p>
    <w:p>
      <w:pPr>
        <w:pStyle w:val="ListParagraph"/>
        <w:numPr>
          <w:ilvl w:val="0"/>
          <w:numId w:val="5"/>
        </w:numPr>
        <w:spacing w:before="80" w:after="80"/>
      </w:pPr>
      <w:r>
        <w:rPr>
          <w:rFonts w:ascii="Arial" w:cs="Arial" w:eastAsia="Arial" w:hAnsi="Arial"/>
          <w:sz w:val="22"/>
          <w:szCs w:val="22"/>
        </w:rPr>
        <w:t xml:space="preserve">Linkages to Village Savings and Loan Associations (VSLAs) for financial inclusion</w:t>
      </w:r>
    </w:p>
    <w:p>
      <w:pPr>
        <w:pStyle w:val="ListParagraph"/>
        <w:numPr>
          <w:ilvl w:val="0"/>
          <w:numId w:val="5"/>
        </w:numPr>
        <w:spacing w:before="80" w:after="100"/>
      </w:pPr>
      <w:r>
        <w:rPr>
          <w:rFonts w:ascii="Arial" w:cs="Arial" w:eastAsia="Arial" w:hAnsi="Arial"/>
          <w:sz w:val="22"/>
          <w:szCs w:val="22"/>
        </w:rPr>
        <w:t xml:space="preserve">Ongoing peer support groups for sustained recovery</w:t>
      </w:r>
    </w:p>
    <w:p>
      <w:pPr>
        <w:pStyle w:val="Heading2"/>
        <w:spacing w:before="300" w:after="150"/>
      </w:pPr>
      <w:r>
        <w:rPr>
          <w:rFonts w:ascii="Arial" w:cs="Arial" w:eastAsia="Arial" w:hAnsi="Arial"/>
          <w:b/>
          <w:bCs/>
          <w:color w:val="2E7D32"/>
          <w:sz w:val="26"/>
          <w:szCs w:val="26"/>
        </w:rPr>
        <w:t xml:space="preserve">4.2 Rebloom Pads Production (Supporting Activity 1)</w:t>
      </w:r>
    </w:p>
    <w:p>
      <w:pPr>
        <w:spacing w:before="120" w:after="120"/>
        <w:jc w:val="both"/>
      </w:pPr>
      <w:r>
        <w:rPr>
          <w:rFonts w:ascii="Arial" w:cs="Arial" w:eastAsia="Arial" w:hAnsi="Arial"/>
          <w:color w:val="212121"/>
          <w:sz w:val="22"/>
          <w:szCs w:val="22"/>
        </w:rPr>
        <w:t xml:space="preserve">Rebloom Pads production serves our rehabilitation mission by providing practical skills training and employment opportunities for survivors. The product itself addresses the parallel crisis of period poverty.</w:t>
      </w:r>
    </w:p>
    <w:p>
      <w:pPr>
        <w:pStyle w:val="Heading3"/>
        <w:spacing w:before="200" w:after="100"/>
      </w:pPr>
      <w:r>
        <w:rPr>
          <w:rFonts w:ascii="Arial" w:cs="Arial" w:eastAsia="Arial" w:hAnsi="Arial"/>
          <w:b/>
          <w:bCs/>
          <w:color w:val="0D47A1"/>
          <w:sz w:val="22"/>
          <w:szCs w:val="22"/>
        </w:rPr>
        <w:t xml:space="preserve">4.2.1 Product Specifications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35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Specification</w:t>
            </w:r>
          </w:p>
        </w:tc>
        <w:tc>
          <w:tcPr>
            <w:tcW w:type="dxa" w:w="30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Benefit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Kit Contents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 reusable pads + waterproof pouch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Complete menstrual management solution</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Materials</w:t>
            </w:r>
          </w:p>
        </w:tc>
        <w:tc>
          <w:tcPr>
            <w:tcW w:type="dxa" w:w="3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Cotton flannel, waterproof PUL layer</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Comfortable, leak-proof, washable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Lifespan</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2-3 years with proper care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Replaces 200+ disposable pads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Price Point</w:t>
            </w:r>
          </w:p>
        </w:tc>
        <w:tc>
          <w:tcPr>
            <w:tcW w:type="dxa" w:w="3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UGX 15,000 (~$4.00)</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Affordable for target market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Production</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Made by GBV survivors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Each purchase supports rehabilitation</w:t>
            </w:r>
          </w:p>
        </w:tc>
      </w:tr>
    </w:tbl>
    <w:p>
      <w:pPr>
        <w:pStyle w:val="Heading3"/>
        <w:spacing w:before="200" w:after="100"/>
      </w:pPr>
      <w:r>
        <w:rPr>
          <w:rFonts w:ascii="Arial" w:cs="Arial" w:eastAsia="Arial" w:hAnsi="Arial"/>
          <w:b/>
          <w:bCs/>
          <w:color w:val="0D47A1"/>
          <w:sz w:val="22"/>
          <w:szCs w:val="22"/>
        </w:rPr>
        <w:t xml:space="preserve">4.2.2 Production Training Curriculum</w:t>
      </w:r>
    </w:p>
    <w:p>
      <w:pPr>
        <w:spacing w:before="120" w:after="120"/>
        <w:jc w:val="both"/>
      </w:pPr>
      <w:r>
        <w:rPr>
          <w:rFonts w:ascii="Arial" w:cs="Arial" w:eastAsia="Arial" w:hAnsi="Arial"/>
          <w:color w:val="212121"/>
          <w:sz w:val="22"/>
          <w:szCs w:val="22"/>
        </w:rPr>
        <w:t xml:space="preserve">Survivors receive comprehensive 8-week training covering pattern cutting, sewing techniques, quality control, hygiene standards, packaging, and basic business skills. Training is conducted in local languages with practical, hands-on learning.</w:t>
      </w:r>
    </w:p>
    <w:p>
      <w:pPr>
        <w:pStyle w:val="Heading2"/>
        <w:spacing w:before="300" w:after="150"/>
      </w:pPr>
      <w:r>
        <w:rPr>
          <w:rFonts w:ascii="Arial" w:cs="Arial" w:eastAsia="Arial" w:hAnsi="Arial"/>
          <w:b/>
          <w:bCs/>
          <w:color w:val="2E7D32"/>
          <w:sz w:val="26"/>
          <w:szCs w:val="26"/>
        </w:rPr>
        <w:t xml:space="preserve">4.3 CHE Distribution Network (Supporting Activity 2)</w:t>
      </w:r>
    </w:p>
    <w:p>
      <w:pPr>
        <w:spacing w:before="120" w:after="120"/>
        <w:jc w:val="both"/>
      </w:pPr>
      <w:r>
        <w:rPr>
          <w:rFonts w:ascii="Arial" w:cs="Arial" w:eastAsia="Arial" w:hAnsi="Arial"/>
          <w:color w:val="212121"/>
          <w:sz w:val="22"/>
          <w:szCs w:val="22"/>
        </w:rPr>
        <w:t xml:space="preserve">Community Health Entrepreneurs (CHEs) provide last-mile distribution while creating income opportunities. This network extends our reach while building a sustainable sales channel.</w:t>
      </w:r>
    </w:p>
    <w:p>
      <w:pPr>
        <w:pStyle w:val="Heading3"/>
        <w:spacing w:before="200" w:after="100"/>
      </w:pPr>
      <w:r>
        <w:rPr>
          <w:rFonts w:ascii="Arial" w:cs="Arial" w:eastAsia="Arial" w:hAnsi="Arial"/>
          <w:b/>
          <w:bCs/>
          <w:color w:val="0D47A1"/>
          <w:sz w:val="22"/>
          <w:szCs w:val="22"/>
        </w:rPr>
        <w:t xml:space="preserve">4.3.1 CHE Model</w:t>
      </w:r>
    </w:p>
    <w:p>
      <w:pPr>
        <w:pStyle w:val="ListParagraph"/>
        <w:numPr>
          <w:ilvl w:val="0"/>
          <w:numId w:val="6"/>
        </w:numPr>
        <w:spacing w:before="100" w:after="80"/>
      </w:pPr>
      <w:r>
        <w:rPr>
          <w:rFonts w:ascii="Arial" w:cs="Arial" w:eastAsia="Arial" w:hAnsi="Arial"/>
          <w:sz w:val="22"/>
          <w:szCs w:val="22"/>
        </w:rPr>
        <w:t xml:space="preserve">CHEs purchase kits at wholesale (UGX 12,000) and sell at retail (UGX 15,000)</w:t>
      </w:r>
    </w:p>
    <w:p>
      <w:pPr>
        <w:pStyle w:val="ListParagraph"/>
        <w:numPr>
          <w:ilvl w:val="0"/>
          <w:numId w:val="6"/>
        </w:numPr>
        <w:spacing w:before="80" w:after="80"/>
      </w:pPr>
      <w:r>
        <w:rPr>
          <w:rFonts w:ascii="Arial" w:cs="Arial" w:eastAsia="Arial" w:hAnsi="Arial"/>
          <w:sz w:val="22"/>
          <w:szCs w:val="22"/>
        </w:rPr>
        <w:t xml:space="preserve">20-25% commission provides meaningful income supplement</w:t>
      </w:r>
    </w:p>
    <w:p>
      <w:pPr>
        <w:pStyle w:val="ListParagraph"/>
        <w:numPr>
          <w:ilvl w:val="0"/>
          <w:numId w:val="6"/>
        </w:numPr>
        <w:spacing w:before="80" w:after="80"/>
      </w:pPr>
      <w:r>
        <w:rPr>
          <w:rFonts w:ascii="Arial" w:cs="Arial" w:eastAsia="Arial" w:hAnsi="Arial"/>
          <w:sz w:val="22"/>
          <w:szCs w:val="22"/>
        </w:rPr>
        <w:t xml:space="preserve">CHEs also deliver MHM education and GBV awareness in communities</w:t>
      </w:r>
    </w:p>
    <w:p>
      <w:pPr>
        <w:pStyle w:val="ListParagraph"/>
        <w:numPr>
          <w:ilvl w:val="0"/>
          <w:numId w:val="6"/>
        </w:numPr>
        <w:spacing w:before="80" w:after="80"/>
      </w:pPr>
      <w:r>
        <w:rPr>
          <w:rFonts w:ascii="Arial" w:cs="Arial" w:eastAsia="Arial" w:hAnsi="Arial"/>
          <w:sz w:val="22"/>
          <w:szCs w:val="22"/>
        </w:rPr>
        <w:t xml:space="preserve">Priority recruitment from graduated survivors and existing CHW networks</w:t>
      </w:r>
    </w:p>
    <w:p>
      <w:pPr>
        <w:pStyle w:val="ListParagraph"/>
        <w:numPr>
          <w:ilvl w:val="0"/>
          <w:numId w:val="6"/>
        </w:numPr>
        <w:spacing w:before="80" w:after="100"/>
      </w:pPr>
      <w:r>
        <w:rPr>
          <w:rFonts w:ascii="Arial" w:cs="Arial" w:eastAsia="Arial" w:hAnsi="Arial"/>
          <w:sz w:val="22"/>
          <w:szCs w:val="22"/>
        </w:rPr>
        <w:t xml:space="preserve">Year 1 target: 25 CHEs covering 50+ villages</w:t>
      </w:r>
    </w:p>
    <w:p>
      <w:pPr>
        <w:pStyle w:val="Heading2"/>
        <w:spacing w:before="300" w:after="150"/>
      </w:pPr>
      <w:r>
        <w:rPr>
          <w:rFonts w:ascii="Arial" w:cs="Arial" w:eastAsia="Arial" w:hAnsi="Arial"/>
          <w:b/>
          <w:bCs/>
          <w:color w:val="2E7D32"/>
          <w:sz w:val="26"/>
          <w:szCs w:val="26"/>
        </w:rPr>
        <w:t xml:space="preserve">4.4 Environmental Impact</w:t>
      </w:r>
    </w:p>
    <w:p>
      <w:pPr>
        <w:spacing w:before="120" w:after="120"/>
        <w:jc w:val="both"/>
      </w:pPr>
      <w:r>
        <w:rPr>
          <w:rFonts w:ascii="Arial" w:cs="Arial" w:eastAsia="Arial" w:hAnsi="Arial"/>
          <w:color w:val="212121"/>
          <w:sz w:val="22"/>
          <w:szCs w:val="22"/>
        </w:rPr>
        <w:t xml:space="preserve">While environmental impact is a supporting benefit rather than our primary mission, it represents a significant contribution:</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2513"/>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1 Impact</w:t>
            </w:r>
          </w:p>
        </w:tc>
        <w:tc>
          <w:tcPr>
            <w:tcW w:type="dxa" w:w="2513"/>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3-Year Cumulative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Disposable pads prevented</w:t>
            </w:r>
          </w:p>
        </w:tc>
        <w:tc>
          <w:tcPr>
            <w:tcW w:type="dxa" w:w="2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150,000+</w:t>
            </w:r>
          </w:p>
        </w:tc>
        <w:tc>
          <w:tcPr>
            <w:tcW w:type="dxa" w:w="2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500,000+</w:t>
            </w:r>
          </w:p>
        </w:tc>
      </w:tr>
      <w:tr>
        <w:tc>
          <w:tcPr>
            <w:tcW w:type="dxa" w:w="4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Plastic waste diverted</w:t>
            </w:r>
          </w:p>
        </w:tc>
        <w:tc>
          <w:tcPr>
            <w:tcW w:type="dxa" w:w="251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750+ kg</w:t>
            </w:r>
          </w:p>
        </w:tc>
        <w:tc>
          <w:tcPr>
            <w:tcW w:type="dxa" w:w="251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2,500+ kg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Decomposition time saved</w:t>
            </w:r>
          </w:p>
        </w:tc>
        <w:tc>
          <w:tcPr>
            <w:tcW w:type="dxa" w:w="2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500+ years per pad</w:t>
            </w:r>
          </w:p>
        </w:tc>
        <w:tc>
          <w:tcPr>
            <w:tcW w:type="dxa" w:w="2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Millions of years</w:t>
            </w:r>
          </w:p>
        </w:tc>
      </w:tr>
    </w:tbl>
    <w:p>
      <w:r>
        <w:br w:type="page"/>
      </w:r>
    </w:p>
    <w:p>
      <w:pPr>
        <w:pStyle w:val="Heading1"/>
        <w:spacing w:before="400" w:after="200"/>
      </w:pPr>
      <w:r>
        <w:rPr>
          <w:rFonts w:ascii="Arial" w:cs="Arial" w:eastAsia="Arial" w:hAnsi="Arial"/>
          <w:b/>
          <w:bCs/>
          <w:color w:val="1B5E20"/>
          <w:sz w:val="32"/>
          <w:szCs w:val="32"/>
        </w:rPr>
        <w:t xml:space="preserve">5. Market Analysis</w:t>
      </w:r>
    </w:p>
    <w:p>
      <w:pPr>
        <w:pStyle w:val="Heading2"/>
        <w:spacing w:before="300" w:after="150"/>
      </w:pPr>
      <w:r>
        <w:rPr>
          <w:rFonts w:ascii="Arial" w:cs="Arial" w:eastAsia="Arial" w:hAnsi="Arial"/>
          <w:b/>
          <w:bCs/>
          <w:color w:val="2E7D32"/>
          <w:sz w:val="26"/>
          <w:szCs w:val="26"/>
        </w:rPr>
        <w:t xml:space="preserve">5.1 Target Market</w:t>
      </w:r>
    </w:p>
    <w:p>
      <w:pPr>
        <w:spacing w:before="120" w:after="120"/>
        <w:jc w:val="both"/>
      </w:pPr>
      <w:r>
        <w:rPr>
          <w:rFonts w:ascii="Arial" w:cs="Arial" w:eastAsia="Arial" w:hAnsi="Arial"/>
          <w:color w:val="212121"/>
          <w:sz w:val="22"/>
          <w:szCs w:val="22"/>
        </w:rPr>
        <w:t xml:space="preserve">Rebloom Collective serves three interconnected market segments:</w:t>
      </w:r>
    </w:p>
    <w:p>
      <w:pPr>
        <w:pStyle w:val="Heading3"/>
        <w:spacing w:before="200" w:after="100"/>
      </w:pPr>
      <w:r>
        <w:rPr>
          <w:rFonts w:ascii="Arial" w:cs="Arial" w:eastAsia="Arial" w:hAnsi="Arial"/>
          <w:b/>
          <w:bCs/>
          <w:color w:val="0D47A1"/>
          <w:sz w:val="22"/>
          <w:szCs w:val="22"/>
        </w:rPr>
        <w:t xml:space="preserve">Primary Market: GBV Survivors</w:t>
      </w:r>
    </w:p>
    <w:p>
      <w:pPr>
        <w:spacing w:before="120" w:after="120"/>
        <w:jc w:val="both"/>
      </w:pPr>
      <w:r>
        <w:rPr>
          <w:rFonts w:ascii="Arial" w:cs="Arial" w:eastAsia="Arial" w:hAnsi="Arial"/>
          <w:color w:val="212121"/>
          <w:sz w:val="22"/>
          <w:szCs w:val="22"/>
        </w:rPr>
        <w:t xml:space="preserve">Women and girls who have experienced gender-based violence in Bukedi sub-region and surrounding districts. With 5,982 reported GBV cases in 2020 (and a 58% non-reporting rate suggesting far more unreported cases), the need for rehabilitation services is immense.</w:t>
      </w:r>
    </w:p>
    <w:p>
      <w:pPr>
        <w:pStyle w:val="Heading3"/>
        <w:spacing w:before="200" w:after="100"/>
      </w:pPr>
      <w:r>
        <w:rPr>
          <w:rFonts w:ascii="Arial" w:cs="Arial" w:eastAsia="Arial" w:hAnsi="Arial"/>
          <w:b/>
          <w:bCs/>
          <w:color w:val="0D47A1"/>
          <w:sz w:val="22"/>
          <w:szCs w:val="22"/>
        </w:rPr>
        <w:t xml:space="preserve">Secondary Market: Menstruating Women and Girls</w:t>
      </w:r>
    </w:p>
    <w:p>
      <w:pPr>
        <w:spacing w:before="120" w:after="120"/>
        <w:jc w:val="both"/>
      </w:pPr>
      <w:r>
        <w:rPr>
          <w:rFonts w:ascii="Arial" w:cs="Arial" w:eastAsia="Arial" w:hAnsi="Arial"/>
          <w:color w:val="212121"/>
          <w:sz w:val="22"/>
          <w:szCs w:val="22"/>
        </w:rPr>
        <w:t xml:space="preserve">Approximately 490,833 people in Pallisa District, with an estimated 25% being women of menstruating age (~122,000). Of these, 65% cannot afford commercial menstrual products, representing our core customer base for Rebloom Pads.</w:t>
      </w:r>
    </w:p>
    <w:p>
      <w:pPr>
        <w:pStyle w:val="Heading3"/>
        <w:spacing w:before="200" w:after="100"/>
      </w:pPr>
      <w:r>
        <w:rPr>
          <w:rFonts w:ascii="Arial" w:cs="Arial" w:eastAsia="Arial" w:hAnsi="Arial"/>
          <w:b/>
          <w:bCs/>
          <w:color w:val="0D47A1"/>
          <w:sz w:val="22"/>
          <w:szCs w:val="22"/>
        </w:rPr>
        <w:t xml:space="preserve">Institutional Market: NGOs, Schools, and Health Facilities</w:t>
      </w:r>
    </w:p>
    <w:p>
      <w:pPr>
        <w:spacing w:before="120" w:after="120"/>
        <w:jc w:val="both"/>
      </w:pPr>
      <w:r>
        <w:rPr>
          <w:rFonts w:ascii="Arial" w:cs="Arial" w:eastAsia="Arial" w:hAnsi="Arial"/>
          <w:color w:val="212121"/>
          <w:sz w:val="22"/>
          <w:szCs w:val="22"/>
        </w:rPr>
        <w:t xml:space="preserve">Organizations already working on MHM, GBV, or girls' education represent bulk purchasing opportunities. Key potential partners include UNFPA, BRAC, schools participating in menstrual health programs, and health facilities.</w:t>
      </w:r>
    </w:p>
    <w:p>
      <w:pPr>
        <w:pStyle w:val="Heading2"/>
        <w:spacing w:before="300" w:after="150"/>
      </w:pPr>
      <w:r>
        <w:rPr>
          <w:rFonts w:ascii="Arial" w:cs="Arial" w:eastAsia="Arial" w:hAnsi="Arial"/>
          <w:b/>
          <w:bCs/>
          <w:color w:val="2E7D32"/>
          <w:sz w:val="26"/>
          <w:szCs w:val="26"/>
        </w:rPr>
        <w:t xml:space="preserve">5.2 Competitive Analysis</w:t>
      </w:r>
    </w:p>
    <w:p>
      <w:pPr>
        <w:spacing w:before="120" w:after="120"/>
        <w:jc w:val="both"/>
      </w:pPr>
      <w:r>
        <w:rPr>
          <w:rFonts w:ascii="Arial" w:cs="Arial" w:eastAsia="Arial" w:hAnsi="Arial"/>
          <w:color w:val="212121"/>
          <w:sz w:val="22"/>
          <w:szCs w:val="22"/>
        </w:rPr>
        <w:t xml:space="preserve">Our competitive position is exceptionally strong due to the complete absence of local competitors: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Factor</w:t>
            </w:r>
          </w:p>
        </w:tc>
        <w:tc>
          <w:tcPr>
            <w:tcW w:type="dxa" w:w="3263"/>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Rebloom Collective</w:t>
            </w:r>
          </w:p>
        </w:tc>
        <w:tc>
          <w:tcPr>
            <w:tcW w:type="dxa" w:w="3263"/>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Nearest Competitors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Location</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Pallisa (Local)</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300+ km away</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Transport Cost</w:t>
            </w:r>
          </w:p>
        </w:tc>
        <w:tc>
          <w:tcPr>
            <w:tcW w:type="dxa" w:w="3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Zero</w:t>
            </w:r>
          </w:p>
        </w:tc>
        <w:tc>
          <w:tcPr>
            <w:tcW w:type="dxa" w:w="3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Adds 30-50% to price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Cultural Fit</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Ateso/Lugwere delivery</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Generic national approach</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Social Impact</w:t>
            </w:r>
          </w:p>
        </w:tc>
        <w:tc>
          <w:tcPr>
            <w:tcW w:type="dxa" w:w="3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GBV survivor employment</w:t>
            </w:r>
          </w:p>
        </w:tc>
        <w:tc>
          <w:tcPr>
            <w:tcW w:type="dxa" w:w="3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Standard manufacturing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Community Trust</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Local founder with relationships</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External organizations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Availability</w:t>
            </w:r>
          </w:p>
        </w:tc>
        <w:tc>
          <w:tcPr>
            <w:tcW w:type="dxa" w:w="3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Consistent local supply</w:t>
            </w:r>
          </w:p>
        </w:tc>
        <w:tc>
          <w:tcPr>
            <w:tcW w:type="dxa" w:w="3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Intermittent, weather-dependent</w:t>
            </w:r>
          </w:p>
        </w:tc>
      </w:tr>
    </w:tbl>
    <w:p>
      <w:pPr>
        <w:pStyle w:val="Heading2"/>
        <w:spacing w:before="300" w:after="150"/>
      </w:pPr>
      <w:r>
        <w:rPr>
          <w:rFonts w:ascii="Arial" w:cs="Arial" w:eastAsia="Arial" w:hAnsi="Arial"/>
          <w:b/>
          <w:bCs/>
          <w:color w:val="2E7D32"/>
          <w:sz w:val="26"/>
          <w:szCs w:val="26"/>
        </w:rPr>
        <w:t xml:space="preserve">5.3 Market Size and Growth</w:t>
      </w:r>
    </w:p>
    <w:p>
      <w:pPr>
        <w:spacing w:before="120" w:after="120"/>
        <w:jc w:val="both"/>
      </w:pPr>
      <w:r>
        <w:rPr>
          <w:rFonts w:ascii="Arial" w:cs="Arial" w:eastAsia="Arial" w:hAnsi="Arial"/>
          <w:color w:val="212121"/>
          <w:sz w:val="22"/>
          <w:szCs w:val="22"/>
        </w:rPr>
        <w:t xml:space="preserve">The addressable market in Eastern Uganda represents a significant opportunity:</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Market Segment</w:t>
            </w:r>
          </w:p>
        </w:tc>
        <w:tc>
          <w:tcPr>
            <w:tcW w:type="dxa" w:w="2763"/>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Size</w:t>
            </w:r>
          </w:p>
        </w:tc>
        <w:tc>
          <w:tcPr>
            <w:tcW w:type="dxa" w:w="2763"/>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Annual Value (Potential)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GBV Rehabilitation Services</w:t>
            </w:r>
          </w:p>
        </w:tc>
        <w:tc>
          <w:tcPr>
            <w:tcW w:type="dxa" w:w="27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6,000+ reported cases/year</w:t>
            </w:r>
          </w:p>
        </w:tc>
        <w:tc>
          <w:tcPr>
            <w:tcW w:type="dxa" w:w="27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$180,000+ (service fees)</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Reusable Pad Market (Pallisa)</w:t>
            </w:r>
          </w:p>
        </w:tc>
        <w:tc>
          <w:tcPr>
            <w:tcW w:type="dxa" w:w="27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~80,000 potential users</w:t>
            </w:r>
          </w:p>
        </w:tc>
        <w:tc>
          <w:tcPr>
            <w:tcW w:type="dxa" w:w="27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$320,000 (at $4/kit)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Reusable Pad Market (Bukedi)</w:t>
            </w:r>
          </w:p>
        </w:tc>
        <w:tc>
          <w:tcPr>
            <w:tcW w:type="dxa" w:w="27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~300,000 potential users</w:t>
            </w:r>
          </w:p>
        </w:tc>
        <w:tc>
          <w:tcPr>
            <w:tcW w:type="dxa" w:w="27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$1.2 million</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NGO/Institutional Purchases</w:t>
            </w:r>
          </w:p>
        </w:tc>
        <w:tc>
          <w:tcPr>
            <w:tcW w:type="dxa" w:w="27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20+ active organizations</w:t>
            </w:r>
          </w:p>
        </w:tc>
        <w:tc>
          <w:tcPr>
            <w:tcW w:type="dxa" w:w="27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$100,000+/year</w:t>
            </w:r>
          </w:p>
        </w:tc>
      </w:tr>
    </w:tbl>
    <w:p>
      <w:r>
        <w:br w:type="page"/>
      </w:r>
    </w:p>
    <w:p>
      <w:pPr>
        <w:pStyle w:val="Heading1"/>
        <w:spacing w:before="400" w:after="200"/>
      </w:pPr>
      <w:r>
        <w:rPr>
          <w:rFonts w:ascii="Arial" w:cs="Arial" w:eastAsia="Arial" w:hAnsi="Arial"/>
          <w:b/>
          <w:bCs/>
          <w:color w:val="1B5E20"/>
          <w:sz w:val="32"/>
          <w:szCs w:val="32"/>
        </w:rPr>
        <w:t xml:space="preserve">6. Business Model &amp; Revenue Streams</w:t>
      </w:r>
    </w:p>
    <w:p>
      <w:pPr>
        <w:pStyle w:val="Heading2"/>
        <w:spacing w:before="300" w:after="150"/>
      </w:pPr>
      <w:r>
        <w:rPr>
          <w:rFonts w:ascii="Arial" w:cs="Arial" w:eastAsia="Arial" w:hAnsi="Arial"/>
          <w:b/>
          <w:bCs/>
          <w:color w:val="2E7D32"/>
          <w:sz w:val="26"/>
          <w:szCs w:val="26"/>
        </w:rPr>
        <w:t xml:space="preserve">6.1 Revenue Streams</w:t>
      </w:r>
    </w:p>
    <w:p>
      <w:pPr>
        <w:spacing w:before="120" w:after="120"/>
        <w:jc w:val="both"/>
      </w:pPr>
      <w:r>
        <w:rPr>
          <w:rFonts w:ascii="Arial" w:cs="Arial" w:eastAsia="Arial" w:hAnsi="Arial"/>
          <w:color w:val="212121"/>
          <w:sz w:val="22"/>
          <w:szCs w:val="22"/>
        </w:rPr>
        <w:t xml:space="preserve">Rebloom Collective generates revenue through four complementary streams: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1750"/>
        <w:gridCol w:w="1750"/>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Revenue Stream</w:t>
            </w:r>
          </w:p>
        </w:tc>
        <w:tc>
          <w:tcPr>
            <w:tcW w:type="dxa" w:w="30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175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1 Projection</w:t>
            </w:r>
          </w:p>
        </w:tc>
        <w:tc>
          <w:tcPr>
            <w:tcW w:type="dxa" w:w="175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of Revenue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12121"/>
                <w:sz w:val="20"/>
                <w:szCs w:val="20"/>
              </w:rPr>
              <w:t xml:space="preserve">Rebloom Pad Retail Sales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Direct sales at markets, events, and center</w:t>
            </w:r>
          </w:p>
        </w:tc>
        <w:tc>
          <w:tcPr>
            <w:tcW w:type="dxa" w:w="1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$5,100</w:t>
            </w:r>
          </w:p>
        </w:tc>
        <w:tc>
          <w:tcPr>
            <w:tcW w:type="dxa" w:w="1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35%</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12121"/>
                <w:sz w:val="20"/>
                <w:szCs w:val="20"/>
              </w:rPr>
              <w:t xml:space="preserve">Bulk NGO/School Orders</w:t>
            </w:r>
          </w:p>
        </w:tc>
        <w:tc>
          <w:tcPr>
            <w:tcW w:type="dxa" w:w="3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Wholesale to institutions at 25% discount</w:t>
            </w:r>
          </w:p>
        </w:tc>
        <w:tc>
          <w:tcPr>
            <w:tcW w:type="dxa" w:w="17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$4,600</w:t>
            </w:r>
          </w:p>
        </w:tc>
        <w:tc>
          <w:tcPr>
            <w:tcW w:type="dxa" w:w="17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32%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12121"/>
                <w:sz w:val="20"/>
                <w:szCs w:val="20"/>
              </w:rPr>
              <w:t xml:space="preserve">CHE Network Sales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Wholesale to CHEs at 20% margin</w:t>
            </w:r>
          </w:p>
        </w:tc>
        <w:tc>
          <w:tcPr>
            <w:tcW w:type="dxa" w:w="1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$2,600</w:t>
            </w:r>
          </w:p>
        </w:tc>
        <w:tc>
          <w:tcPr>
            <w:tcW w:type="dxa" w:w="1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18%</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12121"/>
                <w:sz w:val="20"/>
                <w:szCs w:val="20"/>
              </w:rPr>
              <w:t xml:space="preserve">Training &amp; MHM Workshops</w:t>
            </w:r>
          </w:p>
        </w:tc>
        <w:tc>
          <w:tcPr>
            <w:tcW w:type="dxa" w:w="3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Fees for MHM education sessions</w:t>
            </w:r>
          </w:p>
        </w:tc>
        <w:tc>
          <w:tcPr>
            <w:tcW w:type="dxa" w:w="17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$2,160</w:t>
            </w:r>
          </w:p>
        </w:tc>
        <w:tc>
          <w:tcPr>
            <w:tcW w:type="dxa" w:w="17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12121"/>
                <w:sz w:val="20"/>
                <w:szCs w:val="20"/>
              </w:rPr>
              <w:t xml:space="preserve">TOTAL</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
            </w:r>
          </w:p>
        </w:tc>
        <w:tc>
          <w:tcPr>
            <w:tcW w:type="dxa" w:w="1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$14,460</w:t>
            </w:r>
          </w:p>
        </w:tc>
        <w:tc>
          <w:tcPr>
            <w:tcW w:type="dxa" w:w="1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100%</w:t>
            </w:r>
          </w:p>
        </w:tc>
      </w:tr>
    </w:tbl>
    <w:p>
      <w:pPr>
        <w:pStyle w:val="Heading2"/>
        <w:spacing w:before="300" w:after="150"/>
      </w:pPr>
      <w:r>
        <w:rPr>
          <w:rFonts w:ascii="Arial" w:cs="Arial" w:eastAsia="Arial" w:hAnsi="Arial"/>
          <w:b/>
          <w:bCs/>
          <w:color w:val="2E7D32"/>
          <w:sz w:val="26"/>
          <w:szCs w:val="26"/>
        </w:rPr>
        <w:t xml:space="preserve">6.2 Pricing Strategy</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26"/>
      </w:tblGrid>
      <w:tr>
        <w:tc>
          <w:tcPr>
            <w:tcW w:type="dxa" w:w="30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Product/Service</w:t>
            </w:r>
          </w:p>
        </w:tc>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Price (UGX)</w:t>
            </w:r>
          </w:p>
        </w:tc>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Price (USD)</w:t>
            </w:r>
          </w:p>
        </w:tc>
        <w:tc>
          <w:tcPr>
            <w:tcW w:type="dxa" w:w="24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Rebloom Pad Kit (Retail)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15,000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$4.00</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 pads + pouch</w:t>
            </w:r>
          </w:p>
        </w:tc>
      </w:tr>
      <w:tr>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Rebloom Pad Kit (Bulk)</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11,250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$3.00</w:t>
            </w:r>
          </w:p>
        </w:tc>
        <w:tc>
          <w:tcPr>
            <w:tcW w:type="dxa" w:w="24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25% discount, min 50 kits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Rebloom Pad Kit (CHE)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12,000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$3.20</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20% margin for CHEs</w:t>
            </w:r>
          </w:p>
        </w:tc>
      </w:tr>
      <w:tr>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MHM Workshop (School)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75,000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$20.00</w:t>
            </w:r>
          </w:p>
        </w:tc>
        <w:tc>
          <w:tcPr>
            <w:tcW w:type="dxa" w:w="24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Per session, 30+ students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MHM Workshop (Community)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37,500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$10.00</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Per session, subsidized</w:t>
            </w:r>
          </w:p>
        </w:tc>
      </w:tr>
    </w:tbl>
    <w:p>
      <w:pPr>
        <w:pStyle w:val="Heading2"/>
        <w:spacing w:before="300" w:after="150"/>
      </w:pPr>
      <w:r>
        <w:rPr>
          <w:rFonts w:ascii="Arial" w:cs="Arial" w:eastAsia="Arial" w:hAnsi="Arial"/>
          <w:b/>
          <w:bCs/>
          <w:color w:val="2E7D32"/>
          <w:sz w:val="26"/>
          <w:szCs w:val="26"/>
        </w:rPr>
        <w:t xml:space="preserve">6.3 Unit Economics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3263"/>
      </w:tblGrid>
      <w:tr>
        <w:tc>
          <w:tcPr>
            <w:tcW w:type="dxa" w:w="3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2263"/>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Amount</w:t>
            </w:r>
          </w:p>
        </w:tc>
        <w:tc>
          <w:tcPr>
            <w:tcW w:type="dxa" w:w="3263"/>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Retail Price per Kit</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$4.00</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UGX 15,000</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Materials Cost</w:t>
            </w:r>
          </w:p>
        </w:tc>
        <w:tc>
          <w:tcPr>
            <w:tcW w:type="dxa" w:w="2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$1.20</w:t>
            </w:r>
          </w:p>
        </w:tc>
        <w:tc>
          <w:tcPr>
            <w:tcW w:type="dxa" w:w="3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Fabric, PUL, thread, packaging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Labor Cost</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$0.80</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Survivor wages (fair trade)</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Total COGS</w:t>
            </w:r>
          </w:p>
        </w:tc>
        <w:tc>
          <w:tcPr>
            <w:tcW w:type="dxa" w:w="2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$2.00</w:t>
            </w:r>
          </w:p>
        </w:tc>
        <w:tc>
          <w:tcPr>
            <w:tcW w:type="dxa" w:w="3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50% of retail price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Gross Profit per Kit</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$2.00</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50% gross margin</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Break-even Units/Month</w:t>
            </w:r>
          </w:p>
        </w:tc>
        <w:tc>
          <w:tcPr>
            <w:tcW w:type="dxa" w:w="2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200 kits</w:t>
            </w:r>
          </w:p>
        </w:tc>
        <w:tc>
          <w:tcPr>
            <w:tcW w:type="dxa" w:w="326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At average selling price</w:t>
            </w:r>
          </w:p>
        </w:tc>
      </w:tr>
    </w:tbl>
    <w:p>
      <w:pPr>
        <w:pStyle w:val="Heading2"/>
        <w:spacing w:before="300" w:after="150"/>
      </w:pPr>
      <w:r>
        <w:rPr>
          <w:rFonts w:ascii="Arial" w:cs="Arial" w:eastAsia="Arial" w:hAnsi="Arial"/>
          <w:b/>
          <w:bCs/>
          <w:color w:val="2E7D32"/>
          <w:sz w:val="26"/>
          <w:szCs w:val="26"/>
        </w:rPr>
        <w:t xml:space="preserve">6.4 Cost Structure</w:t>
      </w:r>
    </w:p>
    <w:p>
      <w:pPr>
        <w:spacing w:before="120" w:after="120"/>
        <w:jc w:val="both"/>
      </w:pPr>
      <w:r>
        <w:rPr>
          <w:rFonts w:ascii="Arial" w:cs="Arial" w:eastAsia="Arial" w:hAnsi="Arial"/>
          <w:color w:val="212121"/>
          <w:sz w:val="22"/>
          <w:szCs w:val="22"/>
        </w:rPr>
        <w:t xml:space="preserve">Year 1 operating costs are projected at $9,650, distributed as follows: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526"/>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Cost Category</w:t>
            </w:r>
          </w:p>
        </w:tc>
        <w:tc>
          <w:tcPr>
            <w:tcW w:type="dxa" w:w="1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Amount</w:t>
            </w:r>
          </w:p>
        </w:tc>
        <w:tc>
          <w:tcPr>
            <w:tcW w:type="dxa" w:w="1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of Total</w:t>
            </w:r>
          </w:p>
        </w:tc>
        <w:tc>
          <w:tcPr>
            <w:tcW w:type="dxa" w:w="35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Raw Materials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$3,200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33%</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Fabrics, PUL, thread, packaging supplies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Producer Wages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$2,400</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25%</w:t>
            </w:r>
          </w:p>
        </w:tc>
        <w:tc>
          <w:tcPr>
            <w:tcW w:type="dxa" w:w="3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Fair wages for 5 survivor-producers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GBV Program Costs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$1,530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16%</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Counseling, supplies, referrals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Facility &amp; Utilities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$1,200</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12%</w:t>
            </w:r>
          </w:p>
        </w:tc>
        <w:tc>
          <w:tcPr>
            <w:tcW w:type="dxa" w:w="3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Rent, electricity, water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Transport &amp; Marketing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$800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8%</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Distribution, community outreach</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CHE Commissions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$520</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5%</w:t>
            </w:r>
          </w:p>
        </w:tc>
        <w:tc>
          <w:tcPr>
            <w:tcW w:type="dxa" w:w="3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20% on CHE sales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$9,650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100%</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
            </w:r>
          </w:p>
        </w:tc>
      </w:tr>
    </w:tbl>
    <w:p>
      <w:r>
        <w:br w:type="page"/>
      </w:r>
    </w:p>
    <w:p>
      <w:pPr>
        <w:pStyle w:val="Heading1"/>
        <w:spacing w:before="400" w:after="200"/>
      </w:pPr>
      <w:r>
        <w:rPr>
          <w:rFonts w:ascii="Arial" w:cs="Arial" w:eastAsia="Arial" w:hAnsi="Arial"/>
          <w:b/>
          <w:bCs/>
          <w:color w:val="1B5E20"/>
          <w:sz w:val="32"/>
          <w:szCs w:val="32"/>
        </w:rPr>
        <w:t xml:space="preserve">7. Operations Plan</w:t>
      </w:r>
    </w:p>
    <w:p>
      <w:pPr>
        <w:pStyle w:val="Heading2"/>
        <w:spacing w:before="300" w:after="150"/>
      </w:pPr>
      <w:r>
        <w:rPr>
          <w:rFonts w:ascii="Arial" w:cs="Arial" w:eastAsia="Arial" w:hAnsi="Arial"/>
          <w:b/>
          <w:bCs/>
          <w:color w:val="2E7D32"/>
          <w:sz w:val="26"/>
          <w:szCs w:val="26"/>
        </w:rPr>
        <w:t xml:space="preserve">7.1 Facility Requirements</w:t>
      </w:r>
    </w:p>
    <w:p>
      <w:pPr>
        <w:spacing w:before="120" w:after="120"/>
        <w:jc w:val="both"/>
      </w:pPr>
      <w:r>
        <w:rPr>
          <w:rFonts w:ascii="Arial" w:cs="Arial" w:eastAsia="Arial" w:hAnsi="Arial"/>
          <w:color w:val="212121"/>
          <w:sz w:val="22"/>
          <w:szCs w:val="22"/>
        </w:rPr>
        <w:t xml:space="preserve">Rebloom Collective will operate from a rented facility in Pallisa town with the following specifications: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Space</w:t>
            </w:r>
          </w:p>
        </w:tc>
        <w:tc>
          <w:tcPr>
            <w:tcW w:type="dxa" w:w="20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Size</w:t>
            </w:r>
          </w:p>
        </w:tc>
        <w:tc>
          <w:tcPr>
            <w:tcW w:type="dxa" w:w="40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Counseling Room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15 sqm</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Private individual and group sessions</w:t>
            </w:r>
          </w:p>
        </w:tc>
      </w:tr>
      <w:tr>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Production Area</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30 sqm</w:t>
            </w:r>
          </w:p>
        </w:tc>
        <w:tc>
          <w:tcPr>
            <w:tcW w:type="dxa" w:w="4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Sewing machines, cutting tables, storage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Training Room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20 sqm</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Skills training and MHM workshops</w:t>
            </w:r>
          </w:p>
        </w:tc>
      </w:tr>
      <w:tr>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Storage</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10 sqm</w:t>
            </w:r>
          </w:p>
        </w:tc>
        <w:tc>
          <w:tcPr>
            <w:tcW w:type="dxa" w:w="40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Raw materials and finished products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Office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10 sqm</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Administration and record-keeping</w:t>
            </w:r>
          </w:p>
        </w:tc>
      </w:tr>
    </w:tbl>
    <w:p>
      <w:pPr>
        <w:pStyle w:val="Heading2"/>
        <w:spacing w:before="300" w:after="150"/>
      </w:pPr>
      <w:r>
        <w:rPr>
          <w:rFonts w:ascii="Arial" w:cs="Arial" w:eastAsia="Arial" w:hAnsi="Arial"/>
          <w:b/>
          <w:bCs/>
          <w:color w:val="2E7D32"/>
          <w:sz w:val="26"/>
          <w:szCs w:val="26"/>
        </w:rPr>
        <w:t xml:space="preserve">7.2 Equipment and Supplies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526"/>
      </w:tblGrid>
      <w:tr>
        <w:tc>
          <w:tcPr>
            <w:tcW w:type="dxa" w:w="3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Quantity</w:t>
            </w:r>
          </w:p>
        </w:tc>
        <w:tc>
          <w:tcPr>
            <w:tcW w:type="dxa" w:w="1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Unit Cost</w:t>
            </w:r>
          </w:p>
        </w:tc>
        <w:tc>
          <w:tcPr>
            <w:tcW w:type="dxa" w:w="25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Industrial Sewing Machines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$250</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$750</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Cutting Tables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$75</w:t>
            </w:r>
          </w:p>
        </w:tc>
        <w:tc>
          <w:tcPr>
            <w:tcW w:type="dxa" w:w="2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$150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Fabric Scissors &amp; Tools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10 sets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$20</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$200</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Initial Fabric Stock</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Bulk</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w:t>
            </w:r>
          </w:p>
        </w:tc>
        <w:tc>
          <w:tcPr>
            <w:tcW w:type="dxa" w:w="2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$500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Packaging Materials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Bulk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$200</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Office Equipment</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Various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w:t>
            </w:r>
          </w:p>
        </w:tc>
        <w:tc>
          <w:tcPr>
            <w:tcW w:type="dxa" w:w="2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Counseling Supplies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Various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$100</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TOTAL EQUIPMENT</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
            </w:r>
          </w:p>
        </w:tc>
        <w:tc>
          <w:tcPr>
            <w:tcW w:type="dxa" w:w="2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$2,100</w:t>
            </w:r>
          </w:p>
        </w:tc>
      </w:tr>
    </w:tbl>
    <w:p>
      <w:pPr>
        <w:pStyle w:val="Heading2"/>
        <w:spacing w:before="300" w:after="150"/>
      </w:pPr>
      <w:r>
        <w:rPr>
          <w:rFonts w:ascii="Arial" w:cs="Arial" w:eastAsia="Arial" w:hAnsi="Arial"/>
          <w:b/>
          <w:bCs/>
          <w:color w:val="2E7D32"/>
          <w:sz w:val="26"/>
          <w:szCs w:val="26"/>
        </w:rPr>
        <w:t xml:space="preserve">7.3 Staffing Plan</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3826"/>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Position</w:t>
            </w:r>
          </w:p>
        </w:tc>
        <w:tc>
          <w:tcPr>
            <w:tcW w:type="dxa" w:w="12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Number</w:t>
            </w:r>
          </w:p>
        </w:tc>
        <w:tc>
          <w:tcPr>
            <w:tcW w:type="dxa" w:w="1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Status</w:t>
            </w:r>
          </w:p>
        </w:tc>
        <w:tc>
          <w:tcPr>
            <w:tcW w:type="dxa" w:w="38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Responsibilities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Founder/Director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Full-time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Overall management, fundraising, partnerships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Counselor</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Part-time</w:t>
            </w:r>
          </w:p>
        </w:tc>
        <w:tc>
          <w:tcPr>
            <w:tcW w:type="dxa" w:w="3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GBV counseling, psychosocial support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Production Supervisor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Full-time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Quality control, training, operations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Survivor-Producers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5</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Full-time</w:t>
            </w:r>
          </w:p>
        </w:tc>
        <w:tc>
          <w:tcPr>
            <w:tcW w:type="dxa" w:w="3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Pad production (growing to 10 by Year 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CHE Coordinators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Part-time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CHE recruitment, training, support</w:t>
            </w:r>
          </w:p>
        </w:tc>
      </w:tr>
    </w:tbl>
    <w:p>
      <w:pPr>
        <w:pStyle w:val="Heading2"/>
        <w:spacing w:before="300" w:after="150"/>
      </w:pPr>
      <w:r>
        <w:rPr>
          <w:rFonts w:ascii="Arial" w:cs="Arial" w:eastAsia="Arial" w:hAnsi="Arial"/>
          <w:b/>
          <w:bCs/>
          <w:color w:val="2E7D32"/>
          <w:sz w:val="26"/>
          <w:szCs w:val="26"/>
        </w:rPr>
        <w:t xml:space="preserve">7.4 Implementation Timeline</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Month</w:t>
            </w:r>
          </w:p>
        </w:tc>
        <w:tc>
          <w:tcPr>
            <w:tcW w:type="dxa" w:w="20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Milestone</w:t>
            </w:r>
          </w:p>
        </w:tc>
        <w:tc>
          <w:tcPr>
            <w:tcW w:type="dxa" w:w="55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Activities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Setup</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Secure facility, purchase equipment, hire staff</w:t>
            </w:r>
          </w:p>
        </w:tc>
      </w:tr>
      <w:tr>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2</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Launch</w:t>
            </w:r>
          </w:p>
        </w:tc>
        <w:tc>
          <w:tcPr>
            <w:tcW w:type="dxa" w:w="5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Begin GBV intake, start production training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Production Start</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First Rebloom Pads produced, initial sales</w:t>
            </w:r>
          </w:p>
        </w:tc>
      </w:tr>
      <w:tr>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5-6</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CHE Launch</w:t>
            </w:r>
          </w:p>
        </w:tc>
        <w:tc>
          <w:tcPr>
            <w:tcW w:type="dxa" w:w="5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Train first 10 CHEs, expand distribution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7-8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Scale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Reach 50+ survivors served, 20+ CHEs active</w:t>
            </w:r>
          </w:p>
        </w:tc>
      </w:tr>
      <w:tr>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9-12</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Optimize</w:t>
            </w:r>
          </w:p>
        </w:tc>
        <w:tc>
          <w:tcPr>
            <w:tcW w:type="dxa" w:w="5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Refine operations, build NGO partnerships</w:t>
            </w:r>
          </w:p>
        </w:tc>
      </w:tr>
    </w:tbl>
    <w:p>
      <w:r>
        <w:br w:type="page"/>
      </w:r>
    </w:p>
    <w:p>
      <w:pPr>
        <w:pStyle w:val="Heading1"/>
        <w:spacing w:before="400" w:after="200"/>
      </w:pPr>
      <w:r>
        <w:rPr>
          <w:rFonts w:ascii="Arial" w:cs="Arial" w:eastAsia="Arial" w:hAnsi="Arial"/>
          <w:b/>
          <w:bCs/>
          <w:color w:val="1B5E20"/>
          <w:sz w:val="32"/>
          <w:szCs w:val="32"/>
        </w:rPr>
        <w:t xml:space="preserve">8. Management Team</w:t>
      </w:r>
    </w:p>
    <w:p>
      <w:pPr>
        <w:pStyle w:val="Heading2"/>
        <w:spacing w:before="300" w:after="150"/>
      </w:pPr>
      <w:r>
        <w:rPr>
          <w:rFonts w:ascii="Arial" w:cs="Arial" w:eastAsia="Arial" w:hAnsi="Arial"/>
          <w:b/>
          <w:bCs/>
          <w:color w:val="2E7D32"/>
          <w:sz w:val="26"/>
          <w:szCs w:val="26"/>
        </w:rPr>
        <w:t xml:space="preserve">8.1 Founder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2"/>
              <w:left w:val="single" w:color="1B5E20" w:sz="2"/>
              <w:bottom w:val="single" w:color="1B5E20" w:sz="2"/>
              <w:right w:val="single" w:color="1B5E20" w:sz="2"/>
            </w:tcBorders>
            <w:shd w:fill="E8F5E9" w:val="clear"/>
            <w:tcMar>
              <w:top w:type="dxa" w:w="150"/>
              <w:left w:type="dxa" w:w="200"/>
              <w:bottom w:type="dxa" w:w="150"/>
              <w:right w:type="dxa" w:w="200"/>
            </w:tcMar>
          </w:tcPr>
          <w:p>
            <w:pPr>
              <w:spacing w:after="100"/>
            </w:pPr>
            <w:r>
              <w:rPr>
                <w:rFonts w:ascii="Arial" w:cs="Arial" w:eastAsia="Arial" w:hAnsi="Arial"/>
                <w:b/>
                <w:bCs/>
                <w:color w:val="1B5E20"/>
                <w:sz w:val="28"/>
                <w:szCs w:val="28"/>
              </w:rPr>
              <w:t xml:space="preserve">KEVIN AUJO</w:t>
            </w:r>
          </w:p>
          <w:p>
            <w:pPr>
              <w:spacing w:after="80"/>
            </w:pPr>
            <w:r>
              <w:rPr>
                <w:rFonts w:ascii="Arial" w:cs="Arial" w:eastAsia="Arial" w:hAnsi="Arial"/>
                <w:color w:val="2E7D32"/>
                <w:sz w:val="22"/>
                <w:szCs w:val="22"/>
              </w:rPr>
              <w:t xml:space="preserve">Founder &amp; Executive Director</w:t>
            </w:r>
          </w:p>
          <w:p>
            <w:pPr>
              <w:spacing w:after="150"/>
            </w:pPr>
            <w:r>
              <w:rPr>
                <w:rFonts w:ascii="Arial" w:cs="Arial" w:eastAsia="Arial" w:hAnsi="Arial"/>
                <w:color w:val="757575"/>
                <w:sz w:val="20"/>
                <w:szCs w:val="20"/>
              </w:rPr>
              <w:t xml:space="preserve">MPH (Uganda Martyrs University) | BSWASA (Kyambogo University)</w:t>
            </w:r>
          </w:p>
          <w:p>
            <w:pPr>
              <w:spacing w:after="80"/>
            </w:pPr>
            <w:r>
              <w:rPr>
                <w:rFonts w:ascii="Arial" w:cs="Arial" w:eastAsia="Arial" w:hAnsi="Arial"/>
                <w:sz w:val="22"/>
                <w:szCs w:val="22"/>
              </w:rPr>
              <w:t xml:space="preserve">Kevin brings a unique combination of public health expertise, social work training, and hands-on GBV experience that makes him ideally suited to lead Rebloom Collective.</w:t>
            </w:r>
          </w:p>
        </w:tc>
      </w:tr>
    </w:tbl>
    <w:p>
      <w:pPr>
        <w:pStyle w:val="Heading3"/>
        <w:spacing w:before="200" w:after="100"/>
      </w:pPr>
      <w:r>
        <w:rPr>
          <w:rFonts w:ascii="Arial" w:cs="Arial" w:eastAsia="Arial" w:hAnsi="Arial"/>
          <w:b/>
          <w:bCs/>
          <w:color w:val="0D47A1"/>
          <w:sz w:val="22"/>
          <w:szCs w:val="22"/>
        </w:rPr>
        <w:t xml:space="preserve">Relevant Experience</w:t>
      </w:r>
    </w:p>
    <w:p>
      <w:pPr>
        <w:pStyle w:val="ListParagraph"/>
        <w:numPr>
          <w:ilvl w:val="0"/>
          <w:numId w:val="7"/>
        </w:numPr>
        <w:spacing w:before="150" w:after="80"/>
      </w:pPr>
      <w:r>
        <w:rPr>
          <w:rFonts w:ascii="Arial" w:cs="Arial" w:eastAsia="Arial" w:hAnsi="Arial"/>
          <w:sz w:val="22"/>
          <w:szCs w:val="22"/>
        </w:rPr>
        <w:t xml:space="preserve">Case Management Officer, Baylor-Uganda: Supervising peer mothers and Community Health Workers, providing direct access to established CHW networks for CHE recruitment.</w:t>
      </w:r>
    </w:p>
    <w:p>
      <w:pPr>
        <w:pStyle w:val="ListParagraph"/>
        <w:numPr>
          <w:ilvl w:val="0"/>
          <w:numId w:val="7"/>
        </w:numPr>
        <w:spacing w:before="80" w:after="80"/>
      </w:pPr>
      <w:r>
        <w:rPr>
          <w:rFonts w:ascii="Arial" w:cs="Arial" w:eastAsia="Arial" w:hAnsi="Arial"/>
          <w:sz w:val="22"/>
          <w:szCs w:val="22"/>
        </w:rPr>
        <w:t xml:space="preserve">GBV Counselor, Pallisa Probation Office: Providing psychosocial support to survivors at the district shelter, coordinating community dialogues on GBV prevention.</w:t>
      </w:r>
    </w:p>
    <w:p>
      <w:pPr>
        <w:pStyle w:val="ListParagraph"/>
        <w:numPr>
          <w:ilvl w:val="0"/>
          <w:numId w:val="7"/>
        </w:numPr>
        <w:spacing w:before="80" w:after="80"/>
      </w:pPr>
      <w:r>
        <w:rPr>
          <w:rFonts w:ascii="Arial" w:cs="Arial" w:eastAsia="Arial" w:hAnsi="Arial"/>
          <w:sz w:val="22"/>
          <w:szCs w:val="22"/>
        </w:rPr>
        <w:t xml:space="preserve">Peer Educator, Naguru Teenage Centre: Trained in Adolescent Sexual and Reproductive Health (ASRH) education, including MHM curriculum development and delivery.</w:t>
      </w:r>
    </w:p>
    <w:p>
      <w:pPr>
        <w:pStyle w:val="ListParagraph"/>
        <w:numPr>
          <w:ilvl w:val="0"/>
          <w:numId w:val="7"/>
        </w:numPr>
        <w:spacing w:before="80" w:after="100"/>
      </w:pPr>
      <w:r>
        <w:rPr>
          <w:rFonts w:ascii="Arial" w:cs="Arial" w:eastAsia="Arial" w:hAnsi="Arial"/>
          <w:sz w:val="22"/>
          <w:szCs w:val="22"/>
        </w:rPr>
        <w:t xml:space="preserve">Quality Improvement Training: Skills in data management, monitoring and evaluation, and donor reporting.</w:t>
      </w:r>
    </w:p>
    <w:p>
      <w:pPr>
        <w:pStyle w:val="Heading3"/>
        <w:spacing w:before="200" w:after="100"/>
      </w:pPr>
      <w:r>
        <w:rPr>
          <w:rFonts w:ascii="Arial" w:cs="Arial" w:eastAsia="Arial" w:hAnsi="Arial"/>
          <w:b/>
          <w:bCs/>
          <w:color w:val="0D47A1"/>
          <w:sz w:val="22"/>
          <w:szCs w:val="22"/>
        </w:rPr>
        <w:t xml:space="preserve">Local Advantage</w:t>
      </w:r>
    </w:p>
    <w:p>
      <w:pPr>
        <w:pStyle w:val="ListParagraph"/>
        <w:numPr>
          <w:ilvl w:val="0"/>
          <w:numId w:val="2"/>
        </w:numPr>
        <w:spacing w:before="150" w:after="80"/>
      </w:pPr>
      <w:r>
        <w:rPr>
          <w:rFonts w:ascii="Arial" w:cs="Arial" w:eastAsia="Arial" w:hAnsi="Arial"/>
          <w:sz w:val="22"/>
          <w:szCs w:val="22"/>
        </w:rPr>
        <w:t xml:space="preserve">Native Ateso speaker, fluent in Lugwere and Luganda</w:t>
      </w:r>
    </w:p>
    <w:p>
      <w:pPr>
        <w:pStyle w:val="ListParagraph"/>
        <w:numPr>
          <w:ilvl w:val="0"/>
          <w:numId w:val="2"/>
        </w:numPr>
        <w:spacing w:before="80" w:after="80"/>
      </w:pPr>
      <w:r>
        <w:rPr>
          <w:rFonts w:ascii="Arial" w:cs="Arial" w:eastAsia="Arial" w:hAnsi="Arial"/>
          <w:sz w:val="22"/>
          <w:szCs w:val="22"/>
        </w:rPr>
        <w:t xml:space="preserve">Born in Kumi District, Eastern Uganda - deep understanding of local culture and context</w:t>
      </w:r>
    </w:p>
    <w:p>
      <w:pPr>
        <w:pStyle w:val="ListParagraph"/>
        <w:numPr>
          <w:ilvl w:val="0"/>
          <w:numId w:val="2"/>
        </w:numPr>
        <w:spacing w:before="80" w:after="80"/>
      </w:pPr>
      <w:r>
        <w:rPr>
          <w:rFonts w:ascii="Arial" w:cs="Arial" w:eastAsia="Arial" w:hAnsi="Arial"/>
          <w:sz w:val="22"/>
          <w:szCs w:val="22"/>
        </w:rPr>
        <w:t xml:space="preserve">Established relationships with traditional leaders, LC structures, and health facilities</w:t>
      </w:r>
    </w:p>
    <w:p>
      <w:pPr>
        <w:pStyle w:val="ListParagraph"/>
        <w:numPr>
          <w:ilvl w:val="0"/>
          <w:numId w:val="2"/>
        </w:numPr>
        <w:spacing w:before="80" w:after="100"/>
      </w:pPr>
      <w:r>
        <w:rPr>
          <w:rFonts w:ascii="Arial" w:cs="Arial" w:eastAsia="Arial" w:hAnsi="Arial"/>
          <w:sz w:val="22"/>
          <w:szCs w:val="22"/>
        </w:rPr>
        <w:t xml:space="preserve">Trusted community member with credibility to address sensitive GBV issues</w:t>
      </w:r>
    </w:p>
    <w:p>
      <w:pPr>
        <w:pStyle w:val="Heading2"/>
        <w:spacing w:before="300" w:after="150"/>
      </w:pPr>
      <w:r>
        <w:rPr>
          <w:rFonts w:ascii="Arial" w:cs="Arial" w:eastAsia="Arial" w:hAnsi="Arial"/>
          <w:b/>
          <w:bCs/>
          <w:color w:val="2E7D32"/>
          <w:sz w:val="26"/>
          <w:szCs w:val="26"/>
        </w:rPr>
        <w:t xml:space="preserve">8.2 Advisory Support</w:t>
      </w:r>
    </w:p>
    <w:p>
      <w:pPr>
        <w:spacing w:before="120" w:after="120"/>
        <w:jc w:val="both"/>
      </w:pPr>
      <w:r>
        <w:rPr>
          <w:rFonts w:ascii="Arial" w:cs="Arial" w:eastAsia="Arial" w:hAnsi="Arial"/>
          <w:color w:val="212121"/>
          <w:sz w:val="22"/>
          <w:szCs w:val="22"/>
        </w:rPr>
        <w:t xml:space="preserve">Rebloom Collective will establish a Community Advisory Board including local women leaders, GBV survivors, health workers, and traditional leaders to ensure programs remain community-driven and culturally appropriate. Professional advisory support will be sought from experienced social enterprise leaders and GBV specialists.</w:t>
      </w:r>
    </w:p>
    <w:p>
      <w:r>
        <w:br w:type="page"/>
      </w:r>
    </w:p>
    <w:p>
      <w:pPr>
        <w:pStyle w:val="Heading1"/>
        <w:spacing w:before="400" w:after="200"/>
      </w:pPr>
      <w:r>
        <w:rPr>
          <w:rFonts w:ascii="Arial" w:cs="Arial" w:eastAsia="Arial" w:hAnsi="Arial"/>
          <w:b/>
          <w:bCs/>
          <w:color w:val="1B5E20"/>
          <w:sz w:val="32"/>
          <w:szCs w:val="32"/>
        </w:rPr>
        <w:t xml:space="preserve">9. Financial Projections</w:t>
      </w:r>
    </w:p>
    <w:p>
      <w:pPr>
        <w:pStyle w:val="Heading2"/>
        <w:spacing w:before="300" w:after="150"/>
      </w:pPr>
      <w:r>
        <w:rPr>
          <w:rFonts w:ascii="Arial" w:cs="Arial" w:eastAsia="Arial" w:hAnsi="Arial"/>
          <w:b/>
          <w:bCs/>
          <w:color w:val="2E7D32"/>
          <w:sz w:val="26"/>
          <w:szCs w:val="26"/>
        </w:rPr>
        <w:t xml:space="preserve">9.1 Summary Projections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c>
          <w:tcPr>
            <w:tcW w:type="dxa" w:w="3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1842"/>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1</w:t>
            </w:r>
          </w:p>
        </w:tc>
        <w:tc>
          <w:tcPr>
            <w:tcW w:type="dxa" w:w="1842"/>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2</w:t>
            </w:r>
          </w:p>
        </w:tc>
        <w:tc>
          <w:tcPr>
            <w:tcW w:type="dxa" w:w="1842"/>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Total Revenue</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$14,460</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$28,000</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$45,000</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Total Costs</w:t>
            </w:r>
          </w:p>
        </w:tc>
        <w:tc>
          <w:tcPr>
            <w:tcW w:type="dxa" w:w="184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$9,650</w:t>
            </w:r>
          </w:p>
        </w:tc>
        <w:tc>
          <w:tcPr>
            <w:tcW w:type="dxa" w:w="184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$16,800</w:t>
            </w:r>
          </w:p>
        </w:tc>
        <w:tc>
          <w:tcPr>
            <w:tcW w:type="dxa" w:w="184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$27,000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Net Profit</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$4,810</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$11,200</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$18,000</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Profit Margin</w:t>
            </w:r>
          </w:p>
        </w:tc>
        <w:tc>
          <w:tcPr>
            <w:tcW w:type="dxa" w:w="184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33.3%</w:t>
            </w:r>
          </w:p>
        </w:tc>
        <w:tc>
          <w:tcPr>
            <w:tcW w:type="dxa" w:w="184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40.0%</w:t>
            </w:r>
          </w:p>
        </w:tc>
        <w:tc>
          <w:tcPr>
            <w:tcW w:type="dxa" w:w="184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40.0%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Cumulative Profit</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$4,810</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$16,010</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$34,010</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Break-Even Month</w:t>
            </w:r>
          </w:p>
        </w:tc>
        <w:tc>
          <w:tcPr>
            <w:tcW w:type="dxa" w:w="184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Month 8</w:t>
            </w:r>
          </w:p>
        </w:tc>
        <w:tc>
          <w:tcPr>
            <w:tcW w:type="dxa" w:w="184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w:t>
            </w:r>
          </w:p>
        </w:tc>
        <w:tc>
          <w:tcPr>
            <w:tcW w:type="dxa" w:w="184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ROI on $5,000 Investment</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96%</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220%</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289%</w:t>
            </w:r>
          </w:p>
        </w:tc>
      </w:tr>
    </w:tbl>
    <w:p>
      <w:pPr>
        <w:pStyle w:val="Heading2"/>
        <w:spacing w:before="300" w:after="150"/>
      </w:pPr>
      <w:r>
        <w:rPr>
          <w:rFonts w:ascii="Arial" w:cs="Arial" w:eastAsia="Arial" w:hAnsi="Arial"/>
          <w:b/>
          <w:bCs/>
          <w:color w:val="2E7D32"/>
          <w:sz w:val="26"/>
          <w:szCs w:val="26"/>
        </w:rPr>
        <w:t xml:space="preserve">9.2 Year 1 Monthly Cash Flow</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Month</w:t>
            </w:r>
          </w:p>
        </w:tc>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Revenue</w:t>
            </w:r>
          </w:p>
        </w:tc>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Costs</w:t>
            </w:r>
          </w:p>
        </w:tc>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Net</w:t>
            </w:r>
          </w:p>
        </w:tc>
        <w:tc>
          <w:tcPr>
            <w:tcW w:type="dxa" w:w="18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Cumulative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$2,500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$-2,500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$-2,500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2</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$600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$-450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$-2,950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$650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$-350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$-3,300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4</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$500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$700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$-200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$-3,500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$750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$750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$-3,500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6</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$950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$780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$170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$-3,330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$800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$300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$-3,030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8</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$1,250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$820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$430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$-2,600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$1,400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$850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$550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$-2,050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10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$1,500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$870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$630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$-1,420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$1,650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$890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$760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$-660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12</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$1,910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$940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$970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$310</w:t>
            </w:r>
          </w:p>
        </w:tc>
      </w:tr>
    </w:tbl>
    <w:p>
      <w:pPr>
        <w:pStyle w:val="Heading2"/>
        <w:spacing w:before="300" w:after="150"/>
      </w:pPr>
      <w:r>
        <w:rPr>
          <w:rFonts w:ascii="Arial" w:cs="Arial" w:eastAsia="Arial" w:hAnsi="Arial"/>
          <w:b/>
          <w:bCs/>
          <w:color w:val="2E7D32"/>
          <w:sz w:val="26"/>
          <w:szCs w:val="26"/>
        </w:rPr>
        <w:t xml:space="preserve">9.3 Year 2 Monthly Cash Flow</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Month</w:t>
            </w:r>
          </w:p>
        </w:tc>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Revenue</w:t>
            </w:r>
          </w:p>
        </w:tc>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Costs</w:t>
            </w:r>
          </w:p>
        </w:tc>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Net</w:t>
            </w:r>
          </w:p>
        </w:tc>
        <w:tc>
          <w:tcPr>
            <w:tcW w:type="dxa" w:w="18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Cumulative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$1,000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$1,310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14</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$2,100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$1,050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$1,050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$2,360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$1,100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$3,460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16</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$2,300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$1,150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$1,150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$4,610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$2,400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$1,200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$5,810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18</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$2,500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$1,250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$1,250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$7,060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$2,600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$1,300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$1,300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$8,360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20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$2,700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$1,350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$1,350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$9,710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$2,800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$1,400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$1,400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$11,110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22</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$2,900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$1,450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$1,450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$12,560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23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$1,500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$1,500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$14,060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24</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$3,100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$1,550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$1,550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$15,610</w:t>
            </w:r>
          </w:p>
        </w:tc>
      </w:tr>
    </w:tbl>
    <w:p>
      <w:r>
        <w:br w:type="page"/>
      </w:r>
    </w:p>
    <w:p>
      <w:pPr>
        <w:pStyle w:val="Heading2"/>
        <w:spacing w:before="300" w:after="150"/>
      </w:pPr>
      <w:r>
        <w:rPr>
          <w:rFonts w:ascii="Arial" w:cs="Arial" w:eastAsia="Arial" w:hAnsi="Arial"/>
          <w:b/>
          <w:bCs/>
          <w:color w:val="2E7D32"/>
          <w:sz w:val="26"/>
          <w:szCs w:val="26"/>
        </w:rPr>
        <w:t xml:space="preserve">9.4 Year 3 Monthly Cash Flow</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Month</w:t>
            </w:r>
          </w:p>
        </w:tc>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Revenue</w:t>
            </w:r>
          </w:p>
        </w:tc>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Costs</w:t>
            </w:r>
          </w:p>
        </w:tc>
        <w:tc>
          <w:tcPr>
            <w:tcW w:type="dxa" w:w="18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Net</w:t>
            </w:r>
          </w:p>
        </w:tc>
        <w:tc>
          <w:tcPr>
            <w:tcW w:type="dxa" w:w="18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Cumulative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$3,300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$1,650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$1,650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$17,260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26</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$3,500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$1,750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$1,750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$19,010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$3,700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$1,850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$1,850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$20,860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28</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$3,900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$1,950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$1,950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$22,810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29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$4,100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$2,050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$2,050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$24,860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30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$4,300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$2,150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$2,150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$27,010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31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$4,500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$2,250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$2,250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$29,260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32</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$4,700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$2,350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$2,350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$31,610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33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$4,900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$2,450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$2,450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$34,060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34</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$5,100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$2,550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$2,550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$36,610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Month 35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$5,300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$2,650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$2,650</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color w:val="212121"/>
                <w:sz w:val="20"/>
                <w:szCs w:val="20"/>
              </w:rPr>
              <w:t xml:space="preserve">$39,260</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Month 36</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$5,500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$2,750</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$2,750</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color w:val="212121"/>
                <w:sz w:val="20"/>
                <w:szCs w:val="20"/>
              </w:rPr>
              <w:t xml:space="preserve">$42,010</w:t>
            </w:r>
          </w:p>
        </w:tc>
      </w:tr>
    </w:tbl>
    <w:p>
      <w:pPr>
        <w:pStyle w:val="Heading2"/>
        <w:spacing w:before="300" w:after="150"/>
      </w:pPr>
      <w:r>
        <w:rPr>
          <w:rFonts w:ascii="Arial" w:cs="Arial" w:eastAsia="Arial" w:hAnsi="Arial"/>
          <w:b/>
          <w:bCs/>
          <w:color w:val="2E7D32"/>
          <w:sz w:val="26"/>
          <w:szCs w:val="26"/>
        </w:rPr>
        <w:t xml:space="preserve">9.5 Key Financial Assumptions</w:t>
      </w:r>
    </w:p>
    <w:p>
      <w:pPr>
        <w:pStyle w:val="ListParagraph"/>
        <w:numPr>
          <w:ilvl w:val="0"/>
          <w:numId w:val="2"/>
        </w:numPr>
        <w:spacing w:before="150" w:after="80"/>
      </w:pPr>
      <w:r>
        <w:rPr>
          <w:rFonts w:ascii="Arial" w:cs="Arial" w:eastAsia="Arial" w:hAnsi="Arial"/>
          <w:sz w:val="22"/>
          <w:szCs w:val="22"/>
        </w:rPr>
        <w:t xml:space="preserve">Production capacity grows from 100 kits/month (Q1) to 300 kits/month (Q4 Year 1) to 600 kits/month (Year 3)</w:t>
      </w:r>
    </w:p>
    <w:p>
      <w:pPr>
        <w:pStyle w:val="ListParagraph"/>
        <w:numPr>
          <w:ilvl w:val="0"/>
          <w:numId w:val="2"/>
        </w:numPr>
        <w:spacing w:before="80" w:after="80"/>
      </w:pPr>
      <w:r>
        <w:rPr>
          <w:rFonts w:ascii="Arial" w:cs="Arial" w:eastAsia="Arial" w:hAnsi="Arial"/>
          <w:sz w:val="22"/>
          <w:szCs w:val="22"/>
        </w:rPr>
        <w:t xml:space="preserve">CHE network expands from 10 (Month 6) to 25 (Year 1) to 60 (Year 2) to 100 (Year 3)</w:t>
      </w:r>
    </w:p>
    <w:p>
      <w:pPr>
        <w:pStyle w:val="ListParagraph"/>
        <w:numPr>
          <w:ilvl w:val="0"/>
          <w:numId w:val="2"/>
        </w:numPr>
        <w:spacing w:before="80" w:after="80"/>
      </w:pPr>
      <w:r>
        <w:rPr>
          <w:rFonts w:ascii="Arial" w:cs="Arial" w:eastAsia="Arial" w:hAnsi="Arial"/>
          <w:sz w:val="22"/>
          <w:szCs w:val="22"/>
        </w:rPr>
        <w:t xml:space="preserve">NGO bulk orders begin Q2 with 2-3 contracts secured by end of Year 1</w:t>
      </w:r>
    </w:p>
    <w:p>
      <w:pPr>
        <w:pStyle w:val="ListParagraph"/>
        <w:numPr>
          <w:ilvl w:val="0"/>
          <w:numId w:val="2"/>
        </w:numPr>
        <w:spacing w:before="80" w:after="80"/>
      </w:pPr>
      <w:r>
        <w:rPr>
          <w:rFonts w:ascii="Arial" w:cs="Arial" w:eastAsia="Arial" w:hAnsi="Arial"/>
          <w:sz w:val="22"/>
          <w:szCs w:val="22"/>
        </w:rPr>
        <w:t xml:space="preserve">Average selling price of $3.50 (blended retail/wholesale)</w:t>
      </w:r>
    </w:p>
    <w:p>
      <w:pPr>
        <w:pStyle w:val="ListParagraph"/>
        <w:numPr>
          <w:ilvl w:val="0"/>
          <w:numId w:val="2"/>
        </w:numPr>
        <w:spacing w:before="80" w:after="80"/>
      </w:pPr>
      <w:r>
        <w:rPr>
          <w:rFonts w:ascii="Arial" w:cs="Arial" w:eastAsia="Arial" w:hAnsi="Arial"/>
          <w:sz w:val="22"/>
          <w:szCs w:val="22"/>
        </w:rPr>
        <w:t xml:space="preserve">Material costs remain stable; labor costs increase 10% annually</w:t>
      </w:r>
    </w:p>
    <w:p>
      <w:pPr>
        <w:pStyle w:val="ListParagraph"/>
        <w:numPr>
          <w:ilvl w:val="0"/>
          <w:numId w:val="2"/>
        </w:numPr>
        <w:spacing w:before="80" w:after="100"/>
      </w:pPr>
      <w:r>
        <w:rPr>
          <w:rFonts w:ascii="Arial" w:cs="Arial" w:eastAsia="Arial" w:hAnsi="Arial"/>
          <w:sz w:val="22"/>
          <w:szCs w:val="22"/>
        </w:rPr>
        <w:t xml:space="preserve">Geographic expansion to 3 adjacent districts begins Year 2</w:t>
      </w:r>
    </w:p>
    <w:p>
      <w:r>
        <w:br w:type="page"/>
      </w:r>
    </w:p>
    <w:p>
      <w:pPr>
        <w:pStyle w:val="Heading1"/>
        <w:spacing w:before="400" w:after="200"/>
      </w:pPr>
      <w:r>
        <w:rPr>
          <w:rFonts w:ascii="Arial" w:cs="Arial" w:eastAsia="Arial" w:hAnsi="Arial"/>
          <w:b/>
          <w:bCs/>
          <w:color w:val="1B5E20"/>
          <w:sz w:val="32"/>
          <w:szCs w:val="32"/>
        </w:rPr>
        <w:t xml:space="preserve">10. Impact Metrics &amp; Social Return</w:t>
      </w:r>
    </w:p>
    <w:p>
      <w:pPr>
        <w:pStyle w:val="Heading2"/>
        <w:spacing w:before="300" w:after="150"/>
      </w:pPr>
      <w:r>
        <w:rPr>
          <w:rFonts w:ascii="Arial" w:cs="Arial" w:eastAsia="Arial" w:hAnsi="Arial"/>
          <w:b/>
          <w:bCs/>
          <w:color w:val="2E7D32"/>
          <w:sz w:val="26"/>
          <w:szCs w:val="26"/>
        </w:rPr>
        <w:t xml:space="preserve">10.1 GBV Rehabilitation Impact (Primary)</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456"/>
        <w:gridCol w:w="1457"/>
        <w:gridCol w:w="1457"/>
        <w:gridCol w:w="1456"/>
      </w:tblGrid>
      <w:tr>
        <w:tc>
          <w:tcPr>
            <w:tcW w:type="dxa" w:w="32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145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1</w:t>
            </w:r>
          </w:p>
        </w:tc>
        <w:tc>
          <w:tcPr>
            <w:tcW w:type="dxa" w:w="1457"/>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2</w:t>
            </w:r>
          </w:p>
        </w:tc>
        <w:tc>
          <w:tcPr>
            <w:tcW w:type="dxa" w:w="1457"/>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3</w:t>
            </w:r>
          </w:p>
        </w:tc>
        <w:tc>
          <w:tcPr>
            <w:tcW w:type="dxa" w:w="145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Cumulative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Survivors Enrolled in Program</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50+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100+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150+</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300+</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Survivors Completing Rehabilitation</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40+</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85+</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130+</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255+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Survivors Employed at Center</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5</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15</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15</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Survivors Becoming CHEs</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5</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15</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25</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45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Community Dialogues Held</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12</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24</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36</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72</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Referrals to Partner Services</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30+</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60+</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90+</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180+</w:t>
            </w:r>
          </w:p>
        </w:tc>
      </w:tr>
    </w:tbl>
    <w:p>
      <w:pPr>
        <w:pStyle w:val="Heading2"/>
        <w:spacing w:before="300" w:after="150"/>
      </w:pPr>
      <w:r>
        <w:rPr>
          <w:rFonts w:ascii="Arial" w:cs="Arial" w:eastAsia="Arial" w:hAnsi="Arial"/>
          <w:b/>
          <w:bCs/>
          <w:color w:val="2E7D32"/>
          <w:sz w:val="26"/>
          <w:szCs w:val="26"/>
        </w:rPr>
        <w:t xml:space="preserve">10.2 Economic Empowerment Impact</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456"/>
        <w:gridCol w:w="1457"/>
        <w:gridCol w:w="1457"/>
        <w:gridCol w:w="1456"/>
      </w:tblGrid>
      <w:tr>
        <w:tc>
          <w:tcPr>
            <w:tcW w:type="dxa" w:w="32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145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1</w:t>
            </w:r>
          </w:p>
        </w:tc>
        <w:tc>
          <w:tcPr>
            <w:tcW w:type="dxa" w:w="1457"/>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2</w:t>
            </w:r>
          </w:p>
        </w:tc>
        <w:tc>
          <w:tcPr>
            <w:tcW w:type="dxa" w:w="1457"/>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3</w:t>
            </w:r>
          </w:p>
        </w:tc>
        <w:tc>
          <w:tcPr>
            <w:tcW w:type="dxa" w:w="145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Cumulative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Jobs Created (Direct)</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15</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45</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45</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CHE Income Opportunities</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25</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60</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100</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Total Women Earning Income</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90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145</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145</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Avg CHE Monthly Income</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$30</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$40</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$50</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Girls Reached with Pads</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750+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2,000+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4,000+</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6,750+</w:t>
            </w:r>
          </w:p>
        </w:tc>
      </w:tr>
    </w:tbl>
    <w:p>
      <w:pPr>
        <w:pStyle w:val="Heading2"/>
        <w:spacing w:before="300" w:after="150"/>
      </w:pPr>
      <w:r>
        <w:rPr>
          <w:rFonts w:ascii="Arial" w:cs="Arial" w:eastAsia="Arial" w:hAnsi="Arial"/>
          <w:b/>
          <w:bCs/>
          <w:color w:val="2E7D32"/>
          <w:sz w:val="26"/>
          <w:szCs w:val="26"/>
        </w:rPr>
        <w:t xml:space="preserve">10.3 Environmental Impact</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456"/>
        <w:gridCol w:w="1457"/>
        <w:gridCol w:w="1457"/>
        <w:gridCol w:w="1456"/>
      </w:tblGrid>
      <w:tr>
        <w:tc>
          <w:tcPr>
            <w:tcW w:type="dxa" w:w="32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145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1</w:t>
            </w:r>
          </w:p>
        </w:tc>
        <w:tc>
          <w:tcPr>
            <w:tcW w:type="dxa" w:w="1457"/>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2</w:t>
            </w:r>
          </w:p>
        </w:tc>
        <w:tc>
          <w:tcPr>
            <w:tcW w:type="dxa" w:w="1457"/>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 3</w:t>
            </w:r>
          </w:p>
        </w:tc>
        <w:tc>
          <w:tcPr>
            <w:tcW w:type="dxa" w:w="145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Cumulative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Disposable Pads Prevented</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150,000+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400,000+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800,000+</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1,350,000+</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Plastic Waste Diverted (kg)</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750+</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2,000+</w:t>
            </w:r>
          </w:p>
        </w:tc>
        <w:tc>
          <w:tcPr>
            <w:tcW w:type="dxa" w:w="145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4,000+</w:t>
            </w:r>
          </w:p>
        </w:tc>
        <w:tc>
          <w:tcPr>
            <w:tcW w:type="dxa" w:w="145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6,750+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CO2 Equivalent Avoided (kg)</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3,000+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8,000+</w:t>
            </w:r>
          </w:p>
        </w:tc>
        <w:tc>
          <w:tcPr>
            <w:tcW w:type="dxa" w:w="14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16,000+</w:t>
            </w:r>
          </w:p>
        </w:tc>
        <w:tc>
          <w:tcPr>
            <w:tcW w:type="dxa" w:w="14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27,000+</w:t>
            </w:r>
          </w:p>
        </w:tc>
      </w:tr>
    </w:tbl>
    <w:p>
      <w:pPr>
        <w:pStyle w:val="Heading2"/>
        <w:spacing w:before="300" w:after="150"/>
      </w:pPr>
      <w:r>
        <w:rPr>
          <w:rFonts w:ascii="Arial" w:cs="Arial" w:eastAsia="Arial" w:hAnsi="Arial"/>
          <w:b/>
          <w:bCs/>
          <w:color w:val="2E7D32"/>
          <w:sz w:val="26"/>
          <w:szCs w:val="26"/>
        </w:rPr>
        <w:t xml:space="preserve">10.4 Social Return on Investment</w:t>
      </w:r>
    </w:p>
    <w:p>
      <w:pPr>
        <w:spacing w:before="120" w:after="120"/>
        <w:jc w:val="both"/>
      </w:pPr>
      <w:r>
        <w:rPr>
          <w:rFonts w:ascii="Arial" w:cs="Arial" w:eastAsia="Arial" w:hAnsi="Arial"/>
          <w:color w:val="212121"/>
          <w:sz w:val="22"/>
          <w:szCs w:val="22"/>
        </w:rPr>
        <w:t xml:space="preserve">For every $1 invested in Rebloom Collective, we estimate a social return of $4-6 when accounting for: avoided healthcare costs from improved menstrual hygiene, educational benefits from reduced school absenteeism, economic gains from survivor employment, reduced burden on public GBV services, and environmental benefits from waste reduction.</w:t>
      </w:r>
    </w:p>
    <w:p>
      <w:r>
        <w:br w:type="page"/>
      </w:r>
    </w:p>
    <w:p>
      <w:pPr>
        <w:pStyle w:val="Heading1"/>
        <w:spacing w:before="400" w:after="200"/>
      </w:pPr>
      <w:r>
        <w:rPr>
          <w:rFonts w:ascii="Arial" w:cs="Arial" w:eastAsia="Arial" w:hAnsi="Arial"/>
          <w:b/>
          <w:bCs/>
          <w:color w:val="1B5E20"/>
          <w:sz w:val="32"/>
          <w:szCs w:val="32"/>
        </w:rPr>
        <w:t xml:space="preserve">11. Risk Analysis &amp; Mitigation</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626"/>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Impact</w:t>
            </w:r>
          </w:p>
        </w:tc>
        <w:tc>
          <w:tcPr>
            <w:tcW w:type="dxa" w:w="46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12121"/>
                <w:sz w:val="20"/>
                <w:szCs w:val="20"/>
              </w:rPr>
              <w:t xml:space="preserve">Low initial demand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High</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Pre-launch community engagement; NGO partnerships secured before launch; CHE network for market access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12121"/>
                <w:sz w:val="20"/>
                <w:szCs w:val="20"/>
              </w:rPr>
              <w:t xml:space="preserve">Supply chain disruption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Low</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Medium</w:t>
            </w:r>
          </w:p>
        </w:tc>
        <w:tc>
          <w:tcPr>
            <w:tcW w:type="dxa" w:w="46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Multiple fabric suppliers; 2-month inventory buffer; local sourcing where possible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12121"/>
                <w:sz w:val="20"/>
                <w:szCs w:val="20"/>
              </w:rPr>
              <w:t xml:space="preserve">Survivor drop-out from program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Medium</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Comprehensive support services; peer mentoring; flexible timelines; survivor-centered approach</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12121"/>
                <w:sz w:val="20"/>
                <w:szCs w:val="20"/>
              </w:rPr>
              <w:t xml:space="preserve">Cultural resistance to MHM</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Low</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Medium</w:t>
            </w:r>
          </w:p>
        </w:tc>
        <w:tc>
          <w:tcPr>
            <w:tcW w:type="dxa" w:w="46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Partnership with traditional leaders; local language delivery; community advisory board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12121"/>
                <w:sz w:val="20"/>
                <w:szCs w:val="20"/>
              </w:rPr>
              <w:t xml:space="preserve">Staff turnover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Medium</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Fair wages; supportive work environment; clear career pathways; local hiring preference</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12121"/>
                <w:sz w:val="20"/>
                <w:szCs w:val="20"/>
              </w:rPr>
              <w:t xml:space="preserve">Competition entering market</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Low</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Low</w:t>
            </w:r>
          </w:p>
        </w:tc>
        <w:tc>
          <w:tcPr>
            <w:tcW w:type="dxa" w:w="46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First-mover advantage; brand loyalty; integrated GBV mission creates differentiation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12121"/>
                <w:sz w:val="20"/>
                <w:szCs w:val="20"/>
              </w:rPr>
              <w:t xml:space="preserve">Economic downturn reducing purchasing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Medium</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Low price point; NGO/institutional sales buffer; essential product category</w:t>
            </w:r>
          </w:p>
        </w:tc>
      </w:tr>
    </w:tbl>
    <w:p>
      <w:r>
        <w:br w:type="page"/>
      </w:r>
    </w:p>
    <w:p>
      <w:pPr>
        <w:pStyle w:val="Heading1"/>
        <w:spacing w:before="400" w:after="200"/>
      </w:pPr>
      <w:r>
        <w:rPr>
          <w:rFonts w:ascii="Arial" w:cs="Arial" w:eastAsia="Arial" w:hAnsi="Arial"/>
          <w:b/>
          <w:bCs/>
          <w:color w:val="1B5E20"/>
          <w:sz w:val="32"/>
          <w:szCs w:val="32"/>
        </w:rPr>
        <w:t xml:space="preserve">12. Funding Request &amp; Use of Funds</w:t>
      </w:r>
    </w:p>
    <w:p>
      <w:pPr>
        <w:pStyle w:val="Heading2"/>
        <w:spacing w:before="300" w:after="150"/>
      </w:pPr>
      <w:r>
        <w:rPr>
          <w:rFonts w:ascii="Arial" w:cs="Arial" w:eastAsia="Arial" w:hAnsi="Arial"/>
          <w:b/>
          <w:bCs/>
          <w:color w:val="2E7D32"/>
          <w:sz w:val="26"/>
          <w:szCs w:val="26"/>
        </w:rPr>
        <w:t xml:space="preserve">12.1 Investment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E65100" w:sz="3"/>
              <w:bottom w:val="single" w:color="E65100" w:sz="3"/>
              <w:right w:val="single" w:color="E65100" w:sz="3"/>
            </w:tcBorders>
            <w:shd w:fill="F5F5F5" w:val="clear"/>
            <w:tcMar>
              <w:top w:type="dxa" w:w="150"/>
              <w:left w:type="dxa" w:w="200"/>
              <w:bottom w:type="dxa" w:w="150"/>
              <w:right w:type="dxa" w:w="200"/>
            </w:tcMar>
          </w:tcPr>
          <w:p>
            <w:pPr>
              <w:spacing w:after="100"/>
            </w:pPr>
            <w:r>
              <w:rPr>
                <w:rFonts w:ascii="Arial" w:cs="Arial" w:eastAsia="Arial" w:hAnsi="Arial"/>
                <w:b/>
                <w:bCs/>
                <w:color w:val="E65100"/>
                <w:sz w:val="24"/>
                <w:szCs w:val="24"/>
              </w:rPr>
              <w:t xml:space="preserve">FUNDING REQUEST</w:t>
            </w:r>
          </w:p>
          <w:p>
            <w:r>
              <w:rPr>
                <w:rFonts w:ascii="Arial" w:cs="Arial" w:eastAsia="Arial" w:hAnsi="Arial"/>
                <w:color w:val="212121"/>
                <w:sz w:val="22"/>
                <w:szCs w:val="22"/>
              </w:rPr>
              <w:t xml:space="preserve">Rebloom Collective is seeking $5,000 in seed capital through the WE4A Programme to establish our GBV Rehabilitation Center and launch Rebloom Pads production. This investment will be the foundation for a sustainable social enterprise that generates ongoing impact.</w:t>
            </w:r>
          </w:p>
        </w:tc>
      </w:tr>
    </w:tbl>
    <w:p>
      <w:pPr>
        <w:pStyle w:val="Heading2"/>
        <w:spacing w:before="300" w:after="150"/>
      </w:pPr>
      <w:r>
        <w:rPr>
          <w:rFonts w:ascii="Arial" w:cs="Arial" w:eastAsia="Arial" w:hAnsi="Arial"/>
          <w:b/>
          <w:bCs/>
          <w:color w:val="2E7D32"/>
          <w:sz w:val="26"/>
          <w:szCs w:val="26"/>
        </w:rPr>
        <w:t xml:space="preserve">12.2 Use of Funds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526"/>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Amount</w:t>
            </w:r>
          </w:p>
        </w:tc>
        <w:tc>
          <w:tcPr>
            <w:tcW w:type="dxa" w:w="15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of Total</w:t>
            </w:r>
          </w:p>
        </w:tc>
        <w:tc>
          <w:tcPr>
            <w:tcW w:type="dxa" w:w="3526"/>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Production Equipment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$1,300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26%</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Sewing machines, cutting tables, tools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GBV Center Setup</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$1,100</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22%</w:t>
            </w:r>
          </w:p>
        </w:tc>
        <w:tc>
          <w:tcPr>
            <w:tcW w:type="dxa" w:w="3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Counseling room, furniture, supplies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CHE Network Launch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$1,000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20%</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Training materials, starter kits, transport</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Raw Materials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$900</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18%</w:t>
            </w:r>
          </w:p>
        </w:tc>
        <w:tc>
          <w:tcPr>
            <w:tcW w:type="dxa" w:w="3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Initial fabric and supplies inventory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212121"/>
                <w:sz w:val="20"/>
                <w:szCs w:val="20"/>
              </w:rPr>
              <w:t xml:space="preserve">Operations 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$700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14%</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212121"/>
                <w:sz w:val="20"/>
                <w:szCs w:val="20"/>
              </w:rPr>
              <w:t xml:space="preserve">Rent, utilities, marketing for Months 1-3</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color w:val="212121"/>
                <w:sz w:val="20"/>
                <w:szCs w:val="20"/>
              </w:rPr>
              <w:t xml:space="preserve">TOTAL</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$5,000</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100%</w:t>
            </w:r>
          </w:p>
        </w:tc>
        <w:tc>
          <w:tcPr>
            <w:tcW w:type="dxa" w:w="3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color w:val="212121"/>
                <w:sz w:val="20"/>
                <w:szCs w:val="20"/>
              </w:rPr>
              <w:t xml:space="preserve"/>
            </w:r>
          </w:p>
        </w:tc>
      </w:tr>
    </w:tbl>
    <w:p>
      <w:pPr>
        <w:pStyle w:val="Heading2"/>
        <w:spacing w:before="300" w:after="150"/>
      </w:pPr>
      <w:r>
        <w:rPr>
          <w:rFonts w:ascii="Arial" w:cs="Arial" w:eastAsia="Arial" w:hAnsi="Arial"/>
          <w:b/>
          <w:bCs/>
          <w:color w:val="2E7D32"/>
          <w:sz w:val="26"/>
          <w:szCs w:val="26"/>
        </w:rPr>
        <w:t xml:space="preserve">12.3 Expected Returns</w:t>
      </w:r>
    </w:p>
    <w:p>
      <w:pPr>
        <w:spacing w:before="120" w:after="120"/>
        <w:jc w:val="both"/>
      </w:pPr>
      <w:r>
        <w:rPr>
          <w:rFonts w:ascii="Arial" w:cs="Arial" w:eastAsia="Arial" w:hAnsi="Arial"/>
          <w:color w:val="212121"/>
          <w:sz w:val="22"/>
          <w:szCs w:val="22"/>
        </w:rPr>
        <w:t xml:space="preserve">The $5,000 WE4A investment will generate:</w:t>
      </w:r>
    </w:p>
    <w:p>
      <w:pPr>
        <w:pStyle w:val="ListParagraph"/>
        <w:numPr>
          <w:ilvl w:val="0"/>
          <w:numId w:val="2"/>
        </w:numPr>
        <w:spacing w:before="150" w:after="80"/>
      </w:pPr>
      <w:r>
        <w:rPr>
          <w:rFonts w:ascii="Arial" w:cs="Arial" w:eastAsia="Arial" w:hAnsi="Arial"/>
          <w:sz w:val="22"/>
          <w:szCs w:val="22"/>
        </w:rPr>
        <w:t xml:space="preserve">Year 1: $14,460 revenue, $4,810 net profit (96% ROI)</w:t>
      </w:r>
    </w:p>
    <w:p>
      <w:pPr>
        <w:pStyle w:val="ListParagraph"/>
        <w:numPr>
          <w:ilvl w:val="0"/>
          <w:numId w:val="2"/>
        </w:numPr>
        <w:spacing w:before="80" w:after="80"/>
      </w:pPr>
      <w:r>
        <w:rPr>
          <w:rFonts w:ascii="Arial" w:cs="Arial" w:eastAsia="Arial" w:hAnsi="Arial"/>
          <w:sz w:val="22"/>
          <w:szCs w:val="22"/>
        </w:rPr>
        <w:t xml:space="preserve">Year 3: $45,000 revenue, $18,000 net profit (289% cumulative ROI)</w:t>
      </w:r>
    </w:p>
    <w:p>
      <w:pPr>
        <w:pStyle w:val="ListParagraph"/>
        <w:numPr>
          <w:ilvl w:val="0"/>
          <w:numId w:val="2"/>
        </w:numPr>
        <w:spacing w:before="80" w:after="80"/>
      </w:pPr>
      <w:r>
        <w:rPr>
          <w:rFonts w:ascii="Arial" w:cs="Arial" w:eastAsia="Arial" w:hAnsi="Arial"/>
          <w:sz w:val="22"/>
          <w:szCs w:val="22"/>
        </w:rPr>
        <w:t xml:space="preserve">Break-even achieved by Month 8</w:t>
      </w:r>
    </w:p>
    <w:p>
      <w:pPr>
        <w:pStyle w:val="ListParagraph"/>
        <w:numPr>
          <w:ilvl w:val="0"/>
          <w:numId w:val="2"/>
        </w:numPr>
        <w:spacing w:before="80" w:after="100"/>
      </w:pPr>
      <w:r>
        <w:rPr>
          <w:rFonts w:ascii="Arial" w:cs="Arial" w:eastAsia="Arial" w:hAnsi="Arial"/>
          <w:sz w:val="22"/>
          <w:szCs w:val="22"/>
        </w:rPr>
        <w:t xml:space="preserve">Self-sustaining operations from Year 2 onwards</w:t>
      </w:r>
    </w:p>
    <w:p>
      <w:pPr>
        <w:pStyle w:val="Heading2"/>
        <w:spacing w:before="300" w:after="150"/>
      </w:pPr>
      <w:r>
        <w:rPr>
          <w:rFonts w:ascii="Arial" w:cs="Arial" w:eastAsia="Arial" w:hAnsi="Arial"/>
          <w:b/>
          <w:bCs/>
          <w:color w:val="2E7D32"/>
          <w:sz w:val="26"/>
          <w:szCs w:val="26"/>
        </w:rPr>
        <w:t xml:space="preserve">12.4 Future Funding</w:t>
      </w:r>
    </w:p>
    <w:p>
      <w:pPr>
        <w:spacing w:before="120" w:after="120"/>
        <w:jc w:val="both"/>
      </w:pPr>
      <w:r>
        <w:rPr>
          <w:rFonts w:ascii="Arial" w:cs="Arial" w:eastAsia="Arial" w:hAnsi="Arial"/>
          <w:color w:val="212121"/>
          <w:sz w:val="22"/>
          <w:szCs w:val="22"/>
        </w:rPr>
        <w:t xml:space="preserve">Following successful establishment with WE4A seed funding, Rebloom Collective will pursue additional funding from GBV-focused foundations, climate/environmental grants, impact investors, and earned revenue reinvestment to scale operations across Eastern Uganda.</w:t>
      </w:r>
    </w:p>
    <w:p>
      <w:r>
        <w:br w:type="page"/>
      </w:r>
    </w:p>
    <w:p>
      <w:pPr>
        <w:pStyle w:val="Heading1"/>
        <w:spacing w:before="400" w:after="200"/>
      </w:pPr>
      <w:r>
        <w:rPr>
          <w:rFonts w:ascii="Arial" w:cs="Arial" w:eastAsia="Arial" w:hAnsi="Arial"/>
          <w:b/>
          <w:bCs/>
          <w:color w:val="1B5E20"/>
          <w:sz w:val="32"/>
          <w:szCs w:val="32"/>
        </w:rPr>
        <w:t xml:space="preserve">Appendices</w:t>
      </w:r>
    </w:p>
    <w:p>
      <w:pPr>
        <w:pStyle w:val="Heading2"/>
        <w:spacing w:before="300" w:after="150"/>
      </w:pPr>
      <w:r>
        <w:rPr>
          <w:rFonts w:ascii="Arial" w:cs="Arial" w:eastAsia="Arial" w:hAnsi="Arial"/>
          <w:b/>
          <w:bCs/>
          <w:color w:val="2E7D32"/>
          <w:sz w:val="26"/>
          <w:szCs w:val="26"/>
        </w:rPr>
        <w:t xml:space="preserve">A. References</w:t>
      </w:r>
    </w:p>
    <w:p>
      <w:pPr>
        <w:spacing w:before="120" w:after="120"/>
        <w:jc w:val="left"/>
      </w:pPr>
      <w:r>
        <w:rPr>
          <w:rFonts w:ascii="Arial" w:cs="Arial" w:eastAsia="Arial" w:hAnsi="Arial"/>
          <w:color w:val="212121"/>
          <w:sz w:val="22"/>
          <w:szCs w:val="22"/>
        </w:rPr>
        <w:t xml:space="preserve">Chaturvedi, S., et al. (2020). 'Menstrual hygiene management in schools.' Nature Reviews Urology.</w:t>
      </w:r>
    </w:p>
    <w:p>
      <w:pPr>
        <w:spacing w:before="120" w:after="120"/>
        <w:jc w:val="left"/>
      </w:pPr>
      <w:r>
        <w:rPr>
          <w:rFonts w:ascii="Arial" w:cs="Arial" w:eastAsia="Arial" w:hAnsi="Arial"/>
          <w:color w:val="212121"/>
          <w:sz w:val="22"/>
          <w:szCs w:val="22"/>
        </w:rPr>
        <w:t xml:space="preserve">Rheinländer, T., et al. (2020). 'Environmental impact of menstrual products.' Environmental Health Perspectives.</w:t>
      </w:r>
    </w:p>
    <w:p>
      <w:pPr>
        <w:spacing w:before="120" w:after="120"/>
        <w:jc w:val="left"/>
      </w:pPr>
      <w:r>
        <w:rPr>
          <w:rFonts w:ascii="Arial" w:cs="Arial" w:eastAsia="Arial" w:hAnsi="Arial"/>
          <w:color w:val="212121"/>
          <w:sz w:val="22"/>
          <w:szCs w:val="22"/>
        </w:rPr>
        <w:t xml:space="preserve">SNV Netherlands Development Organisation. (2017). 'Girls' education and menstrual hygiene in Uganda.'</w:t>
      </w:r>
    </w:p>
    <w:p>
      <w:pPr>
        <w:spacing w:before="120" w:after="120"/>
        <w:jc w:val="left"/>
      </w:pPr>
      <w:r>
        <w:rPr>
          <w:rFonts w:ascii="Arial" w:cs="Arial" w:eastAsia="Arial" w:hAnsi="Arial"/>
          <w:color w:val="212121"/>
          <w:sz w:val="22"/>
          <w:szCs w:val="22"/>
        </w:rPr>
        <w:t xml:space="preserve">Uganda Bureau of Statistics. (2016). 'Uganda Demographic and Health Survey.'</w:t>
      </w:r>
    </w:p>
    <w:p>
      <w:pPr>
        <w:spacing w:before="120" w:after="120"/>
        <w:jc w:val="left"/>
      </w:pPr>
      <w:r>
        <w:rPr>
          <w:rFonts w:ascii="Arial" w:cs="Arial" w:eastAsia="Arial" w:hAnsi="Arial"/>
          <w:color w:val="212121"/>
          <w:sz w:val="22"/>
          <w:szCs w:val="22"/>
        </w:rPr>
        <w:t xml:space="preserve">Uganda Bureau of Statistics. (2020). 'Violence Against Women and Girls (VAWG) Survey.'</w:t>
      </w:r>
    </w:p>
    <w:p>
      <w:pPr>
        <w:spacing w:before="120" w:after="120"/>
        <w:jc w:val="left"/>
      </w:pPr>
      <w:r>
        <w:rPr>
          <w:rFonts w:ascii="Arial" w:cs="Arial" w:eastAsia="Arial" w:hAnsi="Arial"/>
          <w:color w:val="212121"/>
          <w:sz w:val="22"/>
          <w:szCs w:val="22"/>
        </w:rPr>
        <w:t xml:space="preserve">UNFPA Uganda. (2021). 'Gender-Based Violence in Eastern Uganda: Analysis and Response.'</w:t>
      </w:r>
    </w:p>
    <w:p>
      <w:pPr>
        <w:spacing w:before="120" w:after="120"/>
        <w:jc w:val="left"/>
      </w:pPr>
      <w:r>
        <w:rPr>
          <w:rFonts w:ascii="Arial" w:cs="Arial" w:eastAsia="Arial" w:hAnsi="Arial"/>
          <w:color w:val="212121"/>
          <w:sz w:val="22"/>
          <w:szCs w:val="22"/>
        </w:rPr>
        <w:t xml:space="preserve">UNICEF/Ministry of Education Uganda. (2020). 'Menstrual Health and Hygiene Report.'</w:t>
      </w:r>
    </w:p>
    <w:p>
      <w:pPr>
        <w:pStyle w:val="Heading2"/>
        <w:spacing w:before="300" w:after="150"/>
      </w:pPr>
      <w:r>
        <w:rPr>
          <w:rFonts w:ascii="Arial" w:cs="Arial" w:eastAsia="Arial" w:hAnsi="Arial"/>
          <w:b/>
          <w:bCs/>
          <w:color w:val="2E7D32"/>
          <w:sz w:val="26"/>
          <w:szCs w:val="26"/>
        </w:rPr>
        <w:t xml:space="preserve">B. Contact Information</w:t>
      </w:r>
    </w:p>
    <w:p>
      <w:pPr>
        <w:spacing w:before="120" w:after="120"/>
        <w:jc w:val="left"/>
      </w:pPr>
      <w:r>
        <w:rPr>
          <w:rFonts w:ascii="Arial" w:cs="Arial" w:eastAsia="Arial" w:hAnsi="Arial"/>
          <w:color w:val="212121"/>
          <w:sz w:val="22"/>
          <w:szCs w:val="22"/>
        </w:rPr>
        <w:t xml:space="preserve">Kevin Aujo, Founder &amp; Executive Director</w:t>
      </w:r>
    </w:p>
    <w:p>
      <w:pPr>
        <w:spacing w:before="120" w:after="120"/>
        <w:jc w:val="left"/>
      </w:pPr>
      <w:r>
        <w:rPr>
          <w:rFonts w:ascii="Arial" w:cs="Arial" w:eastAsia="Arial" w:hAnsi="Arial"/>
          <w:color w:val="212121"/>
          <w:sz w:val="22"/>
          <w:szCs w:val="22"/>
        </w:rPr>
        <w:t xml:space="preserve">Email: kevinaujo@gmail.com</w:t>
      </w:r>
    </w:p>
    <w:p>
      <w:pPr>
        <w:spacing w:before="120" w:after="120"/>
        <w:jc w:val="left"/>
      </w:pPr>
      <w:r>
        <w:rPr>
          <w:rFonts w:ascii="Arial" w:cs="Arial" w:eastAsia="Arial" w:hAnsi="Arial"/>
          <w:color w:val="212121"/>
          <w:sz w:val="22"/>
          <w:szCs w:val="22"/>
        </w:rPr>
        <w:t xml:space="preserve">Phone: +256 788 798 353</w:t>
      </w:r>
    </w:p>
    <w:p>
      <w:pPr>
        <w:spacing w:before="120" w:after="120"/>
        <w:jc w:val="left"/>
      </w:pPr>
      <w:r>
        <w:rPr>
          <w:rFonts w:ascii="Arial" w:cs="Arial" w:eastAsia="Arial" w:hAnsi="Arial"/>
          <w:color w:val="212121"/>
          <w:sz w:val="22"/>
          <w:szCs w:val="22"/>
        </w:rPr>
        <w:t xml:space="preserve">Location: Pallisa District, Bukedi Sub-region, Eastern Uganda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57575"/>
        <w:sz w:val="18"/>
        <w:szCs w:val="18"/>
      </w:rPr>
      <w:t xml:space="preserve">Rebloom Collective | Business Plan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5E2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D3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D47A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2026-01-23T12:03:27.362Z</dcterms:created>
  <dcterms:modified xsi:type="dcterms:W3CDTF">2026-01-23T12:03:27.363Z</dcterms:modified>
</cp:coreProperties>
</file>

<file path=docProps/custom.xml><?xml version="1.0" encoding="utf-8"?>
<Properties xmlns="http://schemas.openxmlformats.org/officeDocument/2006/custom-properties" xmlns:vt="http://schemas.openxmlformats.org/officeDocument/2006/docPropsVTypes"/>
</file>