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0F766E"/>
          <w:sz w:val="44"/>
          <w:szCs w:val="44"/>
        </w:rPr>
        <w:t xml:space="preserve">Concept Note — Fund for Innovation in Development (FID)</w:t>
      </w:r>
    </w:p>
    <w:p>
      <w:pPr>
        <w:spacing w:after="120"/>
      </w:pPr>
      <w:r>
        <w:rPr>
          <w:b/>
          <w:bCs/>
        </w:rPr>
        <w:t xml:space="preserve">Stage requested:</w:t>
      </w:r>
      <w:r>
        <w:t xml:space="preserve"> Stage 0 / Preparation grant (up to €50,000)</w:t>
      </w:r>
    </w:p>
    <w:p>
      <w:pPr>
        <w:spacing w:after="120"/>
      </w:pPr>
      <w:r>
        <w:rPr>
          <w:b/>
          <w:bCs/>
        </w:rPr>
        <w:t xml:space="preserve">Project title:</w:t>
      </w:r>
      <w:r>
        <w:t xml:space="preserve"> FedFraudShield — Privacy-preserving, collaborative fraud detection to protect the savings of Uganda's SACCO and microfinance members</w:t>
      </w:r>
    </w:p>
    <w:p>
      <w:pPr>
        <w:spacing w:after="120"/>
      </w:pPr>
      <w:r>
        <w:rPr>
          <w:b/>
          <w:bCs/>
        </w:rPr>
        <w:t xml:space="preserve">Country:</w:t>
      </w:r>
      <w:r>
        <w:t xml:space="preserve"> Uganda (ODA-eligible, OECD DAC list)</w:t>
      </w:r>
    </w:p>
    <w:p>
      <w:pPr>
        <w:spacing w:after="120"/>
      </w:pPr>
      <w:r>
        <w:rPr>
          <w:b/>
          <w:bCs/>
        </w:rPr>
        <w:t xml:space="preserve">Applicant:</w:t>
      </w:r>
      <w:r>
        <w:t xml:space="preserve"> FraudShield Uganda </w:t>
      </w:r>
      <w:r>
        <w:rPr>
          <w:i/>
          <w:iCs/>
        </w:rPr>
        <w:t xml:space="preserve">(legal entity name and registration number to be inserted)</w:t>
      </w:r>
    </w:p>
    <w:p>
      <w:pPr>
        <w:spacing w:after="120"/>
      </w:pPr>
      <w:r>
        <w:rPr>
          <w:b/>
          <w:bCs/>
        </w:rPr>
        <w:t xml:space="preserve">Lead:</w:t>
      </w:r>
      <w:r>
        <w:t xml:space="preserve"> Raymond R. Wayesu, Founder &amp; Lead Data Scientist — raymondrwayesu@gmail.com · +256 784 902 753</w:t>
      </w:r>
    </w:p>
    <w:p>
      <w:pPr>
        <w:spacing w:after="120"/>
      </w:pPr>
      <w:r>
        <w:rPr>
          <w:b/>
          <w:bCs/>
        </w:rPr>
        <w:t xml:space="preserve">Proposed research partner:</w:t>
      </w:r>
      <w:r>
        <w:t xml:space="preserve"> </w:t>
      </w:r>
      <w:r>
        <w:rPr>
          <w:i/>
          <w:iCs/>
        </w:rPr>
        <w:t xml:space="preserve">(to be confirmed — see Section 8)</w:t>
      </w:r>
    </w:p>
    <w:p>
      <w:pPr>
        <w:spacing w:after="120"/>
      </w:pPr>
      <w:r>
        <w:rPr>
          <w:b/>
          <w:bCs/>
        </w:rPr>
        <w:t xml:space="preserve">Duration:</w:t>
      </w:r>
      <w:r>
        <w:t xml:space="preserve"> 9 months</w:t>
      </w:r>
    </w:p>
    <w:p>
      <w:pPr>
        <w:spacing w:after="120"/>
      </w:pPr>
      <w:r>
        <w:rPr>
          <w:b/>
          <w:bCs/>
        </w:rPr>
        <w:t xml:space="preserve">Date:</w:t>
      </w:r>
      <w:r>
        <w:t xml:space="preserve"> September 2026</w:t>
      </w:r>
    </w:p>
    <w:p>
      <w:pPr>
        <w:pBdr>
          <w:left w:val="single" w:color="F59E0B" w:sz="18" w:space="8"/>
        </w:pBdr>
        <w:shd w:fill="FEF3C7" w:val="clear"/>
        <w:spacing w:after="160" w:before="60"/>
        <w:ind w:left="200"/>
      </w:pPr>
      <w:r>
        <w:rPr>
          <w:b/>
          <w:bCs/>
          <w:i/>
          <w:iCs/>
          <w:color w:val="78350F"/>
          <w:sz w:val="20"/>
          <w:szCs w:val="20"/>
        </w:rPr>
        <w:t xml:space="preserve">Status of this document:</w:t>
      </w:r>
      <w:r>
        <w:rPr>
          <w:i/>
          <w:iCs/>
          <w:color w:val="78350F"/>
          <w:sz w:val="20"/>
          <w:szCs w:val="20"/>
        </w:rPr>
        <w:t xml:space="preserve"> working draft. Items marked </w:t>
      </w:r>
      <w:r>
        <w:rPr>
          <w:rFonts w:ascii="Consolas" w:cs="Consolas" w:eastAsia="Consolas" w:hAnsi="Consolas"/>
          <w:i/>
          <w:iCs/>
          <w:color w:val="78350F"/>
          <w:sz w:val="20"/>
          <w:szCs w:val="20"/>
          <w:shd w:fill="F1F5F9" w:val="clear"/>
        </w:rPr>
        <w:t xml:space="preserve">[TBC]</w:t>
      </w:r>
      <w:r>
        <w:rPr>
          <w:i/>
          <w:iCs/>
          <w:color w:val="78350F"/>
          <w:sz w:val="20"/>
          <w:szCs w:val="20"/>
        </w:rPr>
        <w:t xml:space="preserve"> must be confirmed or replaced before submission. All FID rules (stage definitions, ceilings, eligibility) must be re-checked against the current call guide on fundinnovation.dev, which is updated periodically.</w:t>
      </w:r>
    </w:p>
    <w:p>
      <w:pPr>
        <w:pBdr>
          <w:bottom w:val="single" w:color="CBD5E1" w:sz="6" w:space="1"/>
        </w:pBd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0F766E"/>
          <w:sz w:val="28"/>
          <w:szCs w:val="28"/>
        </w:rPr>
        <w:t xml:space="preserve">1. Summary</w:t>
      </w:r>
    </w:p>
    <w:p>
      <w:pPr>
        <w:spacing w:after="120"/>
      </w:pPr>
      <w:r>
        <w:t xml:space="preserve">Uganda's 28,500+ Savings and Credit Cooperative Organisations (SACCOs) and 150+ licensed microfinance institutions (MFIs) hold the savings of roughly 18 million people, most of them rural and low-income. Internal fraud — ghost loans, officer self-lending, collusion rings — erodes an estimated 2–5% of portfolio value each year (UGX 100–250 billion). When a SACCO collapses, its members lose their savings outright; the 2021 PROFIRA assessment found 312 of 453 monitored SACCOs struggling due to fraud and governance failures, and 64 collapsed entirely.</w:t>
      </w:r>
    </w:p>
    <w:p>
      <w:pPr>
        <w:spacing w:after="120"/>
      </w:pPr>
      <w:r>
        <w:t xml:space="preserve">Machine-learning fraud detection is standard in banks but absent from this sector, because no single SACCO has enough data to train a model and Uganda's Data Protection and Privacy Act (DPPA 2019) restricts pooling raw records. </w:t>
      </w:r>
      <w:r>
        <w:rPr>
          <w:b/>
          <w:bCs/>
        </w:rPr>
        <w:t xml:space="preserve">FedFraudShield</w:t>
      </w:r>
      <w:r>
        <w:t xml:space="preserve"> is a federated-learning framework that lets many institutions train one shared fraud model without any raw data leaving their premises. In simulation (DSA 2026 workshop paper, in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docs/</w:t>
      </w:r>
      <w:r>
        <w:t xml:space="preserve">), federated training raised detection quality (AUPRC) from 0.64 to 0.95 — a 47% relative improvement — and gave institutions with </w:t>
      </w:r>
      <w:r>
        <w:rPr>
          <w:i/>
          <w:iCs/>
        </w:rPr>
        <w:t xml:space="preserve">no</w:t>
      </w:r>
      <w:r>
        <w:t xml:space="preserve"> fraud history a working detector. A companion tool, the </w:t>
      </w:r>
      <w:r>
        <w:rPr>
          <w:b/>
          <w:bCs/>
        </w:rPr>
        <w:t xml:space="preserve">FraudShield MVP</w:t>
      </w:r>
      <w:r>
        <w:t xml:space="preserve">, already runs rule-based and statistical checks on any SACCO's exported spreadsheet and is ready for field use.</w:t>
      </w:r>
    </w:p>
    <w:p>
      <w:pPr>
        <w:spacing w:after="120"/>
      </w:pPr>
      <w:r>
        <w:t xml:space="preserve">This Stage 0 grant will convert a validated design into a pilot-ready intervention: secure data-sharing agreements with 3–5 SACCOs, validate the system on real Ugandan data, establish baseline fraud-loss measurements, recruit a research partner, and design the counterfactual evaluation for a Stage 1 pilot.</w:t>
      </w:r>
    </w:p>
    <w:p>
      <w:pPr>
        <w:pBdr>
          <w:bottom w:val="single" w:color="CBD5E1" w:sz="6" w:space="1"/>
        </w:pBd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0F766E"/>
          <w:sz w:val="28"/>
          <w:szCs w:val="28"/>
        </w:rPr>
        <w:t xml:space="preserve">2. The problem, framed as a poverty and inequality problem</w:t>
      </w:r>
    </w:p>
    <w:tbl>
      <w:tblPr>
        <w:tblW w:type="dxa" w:w="9638"/>
        <w:tblBorders>
          <w:top w:val="single" w:color="CBD5E1" w:sz="4"/>
          <w:left w:val="none" w:sz="0"/>
          <w:bottom w:val="single" w:color="CBD5E1" w:sz="4"/>
          <w:right w:val="none" w:sz="0"/>
          <w:insideH w:val="single" w:color="E2E8F0" w:sz="4"/>
          <w:insideV w:val="none" w:sz="0"/>
        </w:tblBorders>
      </w:tblPr>
      <w:tblGrid>
        <w:gridCol w:w="2803"/>
        <w:gridCol w:w="6835"/>
      </w:tblGrid>
      <w:tr>
        <w:trPr>
          <w:tblHeader/>
        </w:trPr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Who is affected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~18 million SACCO/MFI members; predominantly rural, informal-sector households. Women make up the majority of members in many SACCOs and village savings groups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[TBC: cite UCSCU/UMRA figure]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they are harmed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Fraud losses are absorbed by members as (a) lost savings when a SACCO fails, (b) higher interest rates and stricter lending to cover losses, (c) loss of trust that pushes households back to informal, higher-cost credit.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Scale of loss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UGX 100–250 billion / year (≈ USD 27–68 million), 2–5% of a &gt;UGX 5 trillion asset base.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Why existing responses fail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Manual audits sample 5–10% of loans; external audits detect ~3% of fraud (ACFE 2024). Commercial banking fraud tools are priced for banks and require data volumes SACCOs do not have.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Why now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SACCOs are digitising rapidly (Ensibuuko, Kanzu, Excel), creating the transaction records a detector needs; UMRA's licensing regime and the 2022 Credit Reference Bureau Regulations create both the regulatory pull and a precedent for cross-institution data cooperation.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intervention is therefore best understood as </w:t>
      </w:r>
      <w:r>
        <w:rPr>
          <w:b/>
          <w:bCs/>
        </w:rPr>
        <w:t xml:space="preserve">protecting the financial assets of the poor</w:t>
      </w:r>
      <w:r>
        <w:t xml:space="preserve"> and </w:t>
      </w:r>
      <w:r>
        <w:rPr>
          <w:b/>
          <w:bCs/>
        </w:rPr>
        <w:t xml:space="preserve">keeping community financial institutions solvent</w:t>
      </w:r>
      <w:r>
        <w:t xml:space="preserve">, not as a technology sale to institutions.</w:t>
      </w:r>
    </w:p>
    <w:p>
      <w:pPr>
        <w:pBdr>
          <w:bottom w:val="single" w:color="CBD5E1" w:sz="6" w:space="1"/>
        </w:pBd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0F766E"/>
          <w:sz w:val="28"/>
          <w:szCs w:val="28"/>
        </w:rPr>
        <w:t xml:space="preserve">3. The innovation</w:t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3.1 Two components, one intervention</w:t>
      </w:r>
    </w:p>
    <w:tbl>
      <w:tblPr>
        <w:tblW w:type="dxa" w:w="9638"/>
        <w:tblBorders>
          <w:top w:val="single" w:color="CBD5E1" w:sz="4"/>
          <w:left w:val="none" w:sz="0"/>
          <w:bottom w:val="single" w:color="CBD5E1" w:sz="4"/>
          <w:right w:val="none" w:sz="0"/>
          <w:insideH w:val="single" w:color="E2E8F0" w:sz="4"/>
          <w:insideV w:val="none" w:sz="0"/>
        </w:tblBorders>
      </w:tblPr>
      <w:tblGrid>
        <w:gridCol w:w="2137"/>
        <w:gridCol w:w="3986"/>
        <w:gridCol w:w="3515"/>
      </w:tblGrid>
      <w:tr>
        <w:trPr>
          <w:tblHeader/>
        </w:trPr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Maturity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FraudShield MVP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Browser/Python tool that ingests any SACCO's CSV/Excel export, auto-maps its columns (schema matching), and runs rule-based + statistical detection: duplicate-phone ghost loans, same-day loan stacking, officer self-lending, after-hours approvals, amount outliers, officer concentration.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Working prototype; deployed at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mvp/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mvp-fast/</w:t>
            </w:r>
            <w:r>
              <w:rPr>
                <w:sz w:val="19"/>
                <w:szCs w:val="19"/>
              </w:rPr>
              <w:t xml:space="preserve"> in this repository. Ready for real-world testing (FID Stage 1 criterion).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FedFraudShield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Hub-and-spoke federated learning: each SACCO trains a small neural model locally; only differentially-private parameter updates (~100 KB per round) go to an aggregation server hosted in Uganda; the improved global model is returned. No raw data leaves any institution.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Architecture and simulation results published (DSA 2026 workshop, work-in-progress). Not yet run on real Ugandan data.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3.2 What is new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application of federated learning to SACCO/MFI fraud detection in Africa (no prior work found in the literature review in the paper).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Solves the two blockers that have kept ML out of this sector simultaneously: </w:t>
      </w:r>
      <w:r>
        <w:rPr>
          <w:b/>
          <w:bCs/>
        </w:rPr>
        <w:t xml:space="preserve">data scarcity</w:t>
      </w:r>
      <w:r>
        <w:t xml:space="preserve"> (pooling learning across institutions) and </w:t>
      </w:r>
      <w:r>
        <w:rPr>
          <w:b/>
          <w:bCs/>
        </w:rPr>
        <w:t xml:space="preserve">privacy law</w:t>
      </w:r>
      <w:r>
        <w:t xml:space="preserve"> (DPPA 2019 §14 data minimality; §7(2)(b)(iii) fraud-prevention basis; §19 no cross-border transfer).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for the actual operating environment: works over 3G (30 MB total for 20 training rounds across 15 institutions), tolerates heterogeneous software and column names, and gives </w:t>
      </w:r>
      <w:r>
        <w:rPr>
          <w:i/>
          <w:iCs/>
        </w:rPr>
        <w:t xml:space="preserve">zero-history</w:t>
      </w:r>
      <w:r>
        <w:t xml:space="preserve"> institutions a usable model from day one.</w:t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3.3 Evidence to date (simulation, PaySim dataset, 15 simulated institutions, non-IID)</w:t>
      </w:r>
    </w:p>
    <w:tbl>
      <w:tblPr>
        <w:tblW w:type="dxa" w:w="9638"/>
        <w:tblBorders>
          <w:top w:val="single" w:color="CBD5E1" w:sz="4"/>
          <w:left w:val="none" w:sz="0"/>
          <w:bottom w:val="single" w:color="CBD5E1" w:sz="4"/>
          <w:right w:val="none" w:sz="0"/>
          <w:insideH w:val="single" w:color="E2E8F0" w:sz="4"/>
          <w:insideV w:val="none" w:sz="0"/>
        </w:tblBorders>
      </w:tblPr>
      <w:tblGrid>
        <w:gridCol w:w="6144"/>
        <w:gridCol w:w="1688"/>
        <w:gridCol w:w="1806"/>
      </w:tblGrid>
      <w:tr>
        <w:trPr>
          <w:tblHeader/>
        </w:trPr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AUPRC</w:t>
            </w:r>
          </w:p>
        </w:tc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Local-only (average institution)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0.643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0.768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Local-only (worst institution)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0.005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0.033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FedAvg (federated)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0.945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0.991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FedProx + differential privacy (ε = 5)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0.692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0.312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Centralised (oracle upper bound)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0.977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0.995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Five simulated institutions had no fraud labels at all and could not train any detector alone; all five obtained a working detector through federation.</w:t>
      </w:r>
    </w:p>
    <w:p>
      <w:pPr>
        <w:spacing w:after="120"/>
      </w:pPr>
      <w:r>
        <w:rPr>
          <w:b/>
          <w:bCs/>
        </w:rPr>
        <w:t xml:space="preserve">Known limitations (stated honestly):</w:t>
      </w:r>
      <w:r>
        <w:t xml:space="preserve"> results are on synthetic mobile-money data, not real SACCO loan books; precision is low at default thresholds (many false positives — acceptable for an investigation-triage tool but must be tuned); strong privacy settings (ε = 1) degrade performance significantly. Stage 0 exists to address the first two.</w:t>
      </w:r>
    </w:p>
    <w:p>
      <w:pPr>
        <w:pBdr>
          <w:bottom w:val="single" w:color="CBD5E1" w:sz="6" w:space="1"/>
        </w:pBd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0F766E"/>
          <w:sz w:val="28"/>
          <w:szCs w:val="28"/>
        </w:rPr>
        <w:t xml:space="preserve">4. Stage 0 objectives and activities</w:t>
      </w:r>
    </w:p>
    <w:p>
      <w:pPr>
        <w:spacing w:after="120"/>
      </w:pPr>
      <w:r>
        <w:rPr>
          <w:b/>
          <w:bCs/>
        </w:rPr>
        <w:t xml:space="preserve">Objective:</w:t>
      </w:r>
      <w:r>
        <w:t xml:space="preserve"> Reach the point where a Stage 1 pilot with a credible counterfactual design can begin.</w:t>
      </w:r>
    </w:p>
    <w:tbl>
      <w:tblPr>
        <w:tblW w:type="dxa" w:w="9638"/>
        <w:tblBorders>
          <w:top w:val="single" w:color="CBD5E1" w:sz="4"/>
          <w:left w:val="none" w:sz="0"/>
          <w:bottom w:val="single" w:color="CBD5E1" w:sz="4"/>
          <w:right w:val="none" w:sz="0"/>
          <w:insideH w:val="single" w:color="E2E8F0" w:sz="4"/>
          <w:insideV w:val="none" w:sz="0"/>
        </w:tblBorders>
      </w:tblPr>
      <w:tblGrid>
        <w:gridCol w:w="607"/>
        <w:gridCol w:w="4094"/>
        <w:gridCol w:w="3858"/>
        <w:gridCol w:w="1079"/>
      </w:tblGrid>
      <w:tr>
        <w:trPr>
          <w:tblHeader/>
        </w:trPr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Months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A1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Institutional partnerships: sign data-sharing and pilot MoUs with 3–5 SACCOs/MFIs of varied size and software (Ensibuuko, Kanzu, Excel). Engage UMRA and UCSCU as observers.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Signed MoUs; DPPA-compliant data-processing agreements reviewed by counsel.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1–3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A2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Real-data validation: run the FraudShield MVP on 12–24 months of historical records from each partner; validate the schema-mapping module across heterogeneous exports; retrospectively check flagged cases against each SACCO's own audit findings.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Precision/recall on real data; list of fraud typologies present in Ugandan loan data that PaySim lacks (ghost loans, collusion rings).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2–6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A3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Baseline measurement: establish, per partner, current fraud-loss rate, portfolio-at-risk (PAR30/90), write-offs, audit detection rate, and cost of fraud investigation.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Baseline dataset and measurement protocol — the outcome variables for Stage 1/2.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2–6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A4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Federated proof-of-concept on real data: deploy local training nodes at partners, run federated rounds over their actual connectivity, tune thresholds and privacy budget.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Technical feasibility report: bandwidth, latency, model performance vs. local-only on real data.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4–8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A5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Research partnership and evaluation design: formalise an academic partner; pre-register a Stage 1 pilot design (see §5); power calculation from A3 baselines.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Evaluation pre-analysis plan; Stage 1 application.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3–9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A6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Cost model: unit cost per institution per year for both components; comparison with cost of manual audit and average loss averted.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Cost-effectiveness note (§6).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6–9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A7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Gender-disaggregated analysis: characterise whether women members and women-led SACCOs are differentially exposed to fraud losses.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Short analytic note feeding Stage 1 outcome selection.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5–9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Stage 0 deliverable:</w:t>
      </w:r>
      <w:r>
        <w:t xml:space="preserve"> a Stage 1 proposal with real-data evidence, signed partners, a pre-registered evaluation design, and a costed budget.</w:t>
      </w:r>
    </w:p>
    <w:p>
      <w:pPr>
        <w:pBdr>
          <w:bottom w:val="single" w:color="CBD5E1" w:sz="6" w:space="1"/>
        </w:pBd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0F766E"/>
          <w:sz w:val="28"/>
          <w:szCs w:val="28"/>
        </w:rPr>
        <w:t xml:space="preserve">5. Evaluation pathway (what Stage 1 and Stage 2 would test)</w:t>
      </w:r>
    </w:p>
    <w:p>
      <w:pPr>
        <w:spacing w:after="120"/>
      </w:pPr>
      <w:r>
        <w:t xml:space="preserve">FID requires impact evaluation with a counterfactual. The proposed design, to be finalised with the research partner in Stage 0: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 of randomisation:</w:t>
      </w:r>
      <w:r>
        <w:t xml:space="preserve"> SACCO/MFI (the tool operates at institution level).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1 pilot (≤ €200k, ~40–60 institutions):</w:t>
      </w:r>
      <w:r>
        <w:t xml:space="preserve"> institutions randomised to (T1) FraudShield MVP alone, (T2) FraudShield + FedFraudShield federation, or (C) waitlist control receiving the tool after 12 months. A phased roll-out design ensures every participant eventually receives the intervention.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Primary outcomes:</w:t>
      </w:r>
      <w:r>
        <w:t xml:space="preserve"> fraud losses as % of portfolio; PAR30/PAR90; number and value of confirmed fraud cases detected; institution solvency/continuation.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Member-level outcomes (Stage 2):</w:t>
      </w:r>
      <w:r>
        <w:t xml:space="preserve"> savings retained, access to credit, interest rates charged, member trust and continued participation; disaggregated by gender and rural/urban.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Secondary / mechanism outcomes:</w:t>
      </w:r>
      <w:r>
        <w:t xml:space="preserve"> time-to-detection, audit cost, staff behaviour (e.g. reduction in after-hours approvals — a deterrence effect that may appear even before a case is proven).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2 (≤ €1.5M):</w:t>
      </w:r>
      <w:r>
        <w:t xml:space="preserve"> scale to 150–300 institutions across regions, with a full randomised evaluation powered on member-level outcomes, run by the research partner.</w:t>
      </w:r>
    </w:p>
    <w:p>
      <w:pPr>
        <w:spacing w:after="120"/>
      </w:pPr>
      <w:r>
        <w:t xml:space="preserve">Power will be calculated from Stage 0 baselines (A3). A cluster-randomised design at institution level with ~40–60 clusters is expected to be adequate for institution-level fraud-loss outcomes given the high baseline variance reported by PROFIRA; member-level outcomes will require Stage 2 scale.</w:t>
      </w:r>
    </w:p>
    <w:p>
      <w:pPr>
        <w:pBdr>
          <w:bottom w:val="single" w:color="CBD5E1" w:sz="6" w:space="1"/>
        </w:pBd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0F766E"/>
          <w:sz w:val="28"/>
          <w:szCs w:val="28"/>
        </w:rPr>
        <w:t xml:space="preserve">6. Cost-effectiveness logic (to be quantified in Stage 0)</w:t>
      </w:r>
    </w:p>
    <w:tbl>
      <w:tblPr>
        <w:tblW w:type="dxa" w:w="9638"/>
        <w:tblBorders>
          <w:top w:val="single" w:color="CBD5E1" w:sz="4"/>
          <w:left w:val="none" w:sz="0"/>
          <w:bottom w:val="single" w:color="CBD5E1" w:sz="4"/>
          <w:right w:val="none" w:sz="0"/>
          <w:insideH w:val="single" w:color="E2E8F0" w:sz="4"/>
          <w:insideV w:val="none" w:sz="0"/>
        </w:tblBorders>
      </w:tblPr>
      <w:tblGrid>
        <w:gridCol w:w="3233"/>
        <w:gridCol w:w="3673"/>
        <w:gridCol w:w="2732"/>
      </w:tblGrid>
      <w:tr>
        <w:trPr>
          <w:tblHeader/>
        </w:trPr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Working estimate</w:t>
            </w:r>
          </w:p>
        </w:tc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/ status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Annual fraud loss, median SACCO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2–5% of portfolio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Sector estimates; to be replaced by A3 baseline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Cost of FraudShield MVP per institution/year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UGX 6 million (≈ USD 1,600) at current pricing; marginal cost far lower at scale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Current price list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Marginal cost of federation node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Commodity laptop/VM + ~30 MB/month data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Paper §4.3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Break-even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SACCO with a UGX 500 million portfolio losing 3% (UGX 15 million/yr) breaks even if the tool prevents ~40% of that loss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Illustrative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Comparator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Manual audit covering 5–10% of loans; external audit detecting ~3% of fraud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ACFE 2024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Stage 0 will produce actual cost per institution, cost per fraud case detected, and cost per UGX of loss averted, benchmarked against manual audit.</w:t>
      </w:r>
    </w:p>
    <w:p>
      <w:pPr>
        <w:pBdr>
          <w:bottom w:val="single" w:color="CBD5E1" w:sz="6" w:space="1"/>
        </w:pBd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0F766E"/>
          <w:sz w:val="28"/>
          <w:szCs w:val="28"/>
        </w:rPr>
        <w:t xml:space="preserve">7. Pathway to scale and sustainability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Sector infrastructure, not a product:</w:t>
      </w:r>
      <w:r>
        <w:t xml:space="preserve"> the federated aggregation hub is designed to be operated as shared infrastructure by a sector body (UMRA as regulator, or UCSCU as the apex cooperative union), analogous to how the Credit Reference Bureau operates. This is the target for FID's </w:t>
      </w:r>
      <w:r>
        <w:rPr>
          <w:i/>
          <w:iCs/>
        </w:rPr>
        <w:t xml:space="preserve">Public Policy Transformation</w:t>
      </w:r>
      <w:r>
        <w:t xml:space="preserve"> stage.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Open standards:</w:t>
      </w:r>
      <w:r>
        <w:t xml:space="preserve"> integration with Tazama (Linux Foundation open-source fraud monitoring for emerging markets) so that the model layer is portable and not locked to one vendor.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Revenue model for the tool layer:</w:t>
      </w:r>
      <w:r>
        <w:t xml:space="preserve"> subscription pricing already validated with early conversations; a tiered/free tier for the smallest SACCOs cross-subsidised by MFIs and banks.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Regional replication:</w:t>
      </w:r>
      <w:r>
        <w:t xml:space="preserve"> Kenya, Tanzania and Rwanda have comparable SACCO sectors and data-protection regimes; the federated design transfers directly.</w:t>
      </w:r>
    </w:p>
    <w:p>
      <w:pPr>
        <w:pBdr>
          <w:bottom w:val="single" w:color="CBD5E1" w:sz="6" w:space="1"/>
        </w:pBd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0F766E"/>
          <w:sz w:val="28"/>
          <w:szCs w:val="28"/>
        </w:rPr>
        <w:t xml:space="preserve">8. Team and partners</w:t>
      </w:r>
    </w:p>
    <w:tbl>
      <w:tblPr>
        <w:tblW w:type="dxa" w:w="9638"/>
        <w:tblBorders>
          <w:top w:val="single" w:color="CBD5E1" w:sz="4"/>
          <w:left w:val="none" w:sz="0"/>
          <w:bottom w:val="single" w:color="CBD5E1" w:sz="4"/>
          <w:right w:val="none" w:sz="0"/>
          <w:insideH w:val="single" w:color="E2E8F0" w:sz="4"/>
          <w:insideV w:val="none" w:sz="0"/>
        </w:tblBorders>
      </w:tblPr>
      <w:tblGrid>
        <w:gridCol w:w="2910"/>
        <w:gridCol w:w="4173"/>
        <w:gridCol w:w="2555"/>
      </w:tblGrid>
      <w:tr>
        <w:trPr>
          <w:tblHeader/>
        </w:trPr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Lead / PI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Raymond R. Wayesu — MSc Statistics (Linköping University); Data Analytics Lead, Uganda Virus Research Institute; 10+ years in statistical analysis and ML; author of the FedFraudShield paper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Legal applicant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FraudShield Uganda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[TBC: registered entity type, registration no., bank account]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Must be confirmed — FID does not fund individuals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Research partner (evaluation design &amp; Stage 2 evaluation)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Candidates: Makerere University Dept. of Computer Science (Azamuke, Katarahweire, Bainomugisha — cited in the paper); a J-PAL-affiliated economist; Innovations for Poverty Action (IPA) Uganda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[TBC]</w:t>
            </w:r>
            <w:r>
              <w:rPr>
                <w:sz w:val="19"/>
                <w:szCs w:val="19"/>
              </w:rPr>
              <w:t xml:space="preserve"> — to be secured under A5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Implementing partners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3–5 SACCOs/MFIs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[TBC: names]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Under discussion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Sector / regulatory observers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Uganda Microfinance Regulatory Authority (UMRA); Uganda Cooperative Savings and Credit Union (UCSCU); Ministry of Trade, Industry and Cooperatives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[TBC]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Legal counsel (DPPA compliance)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[TBC]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Budgeted</w:t>
            </w:r>
          </w:p>
        </w:tc>
      </w:tr>
    </w:tbl>
    <w:p>
      <w:pPr>
        <w:spacing w:after="120"/>
      </w:pPr>
    </w:p>
    <w:p>
      <w:pPr>
        <w:pBdr>
          <w:bottom w:val="single" w:color="CBD5E1" w:sz="6" w:space="1"/>
        </w:pBd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0F766E"/>
          <w:sz w:val="28"/>
          <w:szCs w:val="28"/>
        </w:rPr>
        <w:t xml:space="preserve">9. Budget (Stage 0, 9 months) — indicative, EUR</w:t>
      </w:r>
    </w:p>
    <w:tbl>
      <w:tblPr>
        <w:tblW w:type="dxa" w:w="9638"/>
        <w:tblBorders>
          <w:top w:val="single" w:color="CBD5E1" w:sz="4"/>
          <w:left w:val="none" w:sz="0"/>
          <w:bottom w:val="single" w:color="CBD5E1" w:sz="4"/>
          <w:right w:val="none" w:sz="0"/>
          <w:insideH w:val="single" w:color="E2E8F0" w:sz="4"/>
          <w:insideV w:val="none" w:sz="0"/>
        </w:tblBorders>
      </w:tblPr>
      <w:tblGrid>
        <w:gridCol w:w="6034"/>
        <w:gridCol w:w="1310"/>
        <w:gridCol w:w="2294"/>
      </w:tblGrid>
      <w:tr>
        <w:trPr>
          <w:tblHeader/>
        </w:trPr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Personnel: lead data scientist (0.6 FTE), one ML engineer (1.0 FTE), one field/partnerships coordinator (0.5 FTE)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24,000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Local salaries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Research partner engagement: evaluation design, power calculations, pre-registration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8,000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Sub-grant or consultancy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Partner SACCO costs: data extraction time, on-site node hardware (5 × laptop/VM), connectivity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6,000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Legal: DPPA compliance review, data-processing agreements, MoU templates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3,000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Aggregation server hosting in Uganda + security review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2,500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Travel and field work (Kampala, Jinja, Mbarara, Gulu, Mbale)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3,000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Stakeholder workshop (UMRA, UCSCU, partners) and dissemination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1,500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Contingency (≈4%)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2,000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50,000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after="120"/>
      </w:pPr>
      <w:r>
        <w:t xml:space="preserve">Co-financing: founder's in-kind time and existing MVP codebase (not costed).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[TBC: any other co-funding]</w:t>
      </w:r>
    </w:p>
    <w:p>
      <w:pPr>
        <w:pBdr>
          <w:bottom w:val="single" w:color="CBD5E1" w:sz="6" w:space="1"/>
        </w:pBd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0F766E"/>
          <w:sz w:val="28"/>
          <w:szCs w:val="28"/>
        </w:rPr>
        <w:t xml:space="preserve">10. Risks and mitigations</w:t>
      </w:r>
    </w:p>
    <w:tbl>
      <w:tblPr>
        <w:tblW w:type="dxa" w:w="9638"/>
        <w:tblBorders>
          <w:top w:val="single" w:color="CBD5E1" w:sz="4"/>
          <w:left w:val="none" w:sz="0"/>
          <w:bottom w:val="single" w:color="CBD5E1" w:sz="4"/>
          <w:right w:val="none" w:sz="0"/>
          <w:insideH w:val="single" w:color="E2E8F0" w:sz="4"/>
          <w:insideV w:val="none" w:sz="0"/>
        </w:tblBorders>
      </w:tblPr>
      <w:tblGrid>
        <w:gridCol w:w="3798"/>
        <w:gridCol w:w="1812"/>
        <w:gridCol w:w="4028"/>
      </w:tblGrid>
      <w:tr>
        <w:trPr>
          <w:tblHeader/>
        </w:trPr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SACCOs unwilling to share historical data even under DPPA-compliant terms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Federated design means raw data never leaves the institution; retrospective validation (A2) can run on-premises with only aggregate results exported. Start with institutions already digitised.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Real fraud typologies differ from simulation; performance drops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This is precisely what Stage 0 tests; the rule-based MVP provides a floor that works regardless.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 false-positive rate overwhelms small SACCO staff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Medium–High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Threshold tuning on real data; alerts ranked and capped per week; measure investigation burden as an outcome.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Regulatory objection to a shared model hub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Early engagement with UMRA; hub hosted in Uganda; CRB regulations as precedent.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Detection tool changes staff behaviour before evaluation (Hawthorne / deterrence)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Certain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Treat deterrence as a legitimate mechanism; randomisation at institution level captures it; measure behavioural indicators explicitly.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Applicant entity not eligible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Confirm registration before submission; consider a university-led consortium if needed.</w:t>
            </w:r>
          </w:p>
        </w:tc>
      </w:tr>
    </w:tbl>
    <w:p>
      <w:pPr>
        <w:spacing w:after="120"/>
      </w:pPr>
    </w:p>
    <w:p>
      <w:pPr>
        <w:pBdr>
          <w:bottom w:val="single" w:color="CBD5E1" w:sz="6" w:space="1"/>
        </w:pBd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0F766E"/>
          <w:sz w:val="28"/>
          <w:szCs w:val="28"/>
        </w:rPr>
        <w:t xml:space="preserve">11. Timeline (Stage 0)</w:t>
      </w:r>
    </w:p>
    <w:p>
      <w:pPr>
        <w:keepNext/>
        <w:keepLines/>
        <w:shd w:fill="F1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Month:        1   2   3   4   5   6   7   8   9</w:t>
      </w:r>
    </w:p>
    <w:p>
      <w:pPr>
        <w:keepNext/>
        <w:keepLines/>
        <w:shd w:fill="F1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A1 MoUs       ███████████</w:t>
      </w:r>
    </w:p>
    <w:p>
      <w:pPr>
        <w:keepNext/>
        <w:keepLines/>
        <w:shd w:fill="F1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A2 Real data      ███████████████████</w:t>
      </w:r>
    </w:p>
    <w:p>
      <w:pPr>
        <w:keepNext/>
        <w:keepLines/>
        <w:shd w:fill="F1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A3 Baselines      ███████████████████</w:t>
      </w:r>
    </w:p>
    <w:p>
      <w:pPr>
        <w:keepNext/>
        <w:keepLines/>
        <w:shd w:fill="F1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A4 Fed PoC                ███████████████████</w:t>
      </w:r>
    </w:p>
    <w:p>
      <w:pPr>
        <w:keepNext/>
        <w:keepLines/>
        <w:shd w:fill="F1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A5 Eval design        ███████████████████████████</w:t>
      </w:r>
    </w:p>
    <w:p>
      <w:pPr>
        <w:keepNext/>
        <w:keepLines/>
        <w:shd w:fill="F1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A6 Cost model                         ███████████</w:t>
      </w:r>
    </w:p>
    <w:p>
      <w:pPr>
        <w:keepNext/>
        <w:keepLines/>
        <w:shd w:fill="F1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A7 Gender note                    ███████████████</w:t>
      </w:r>
    </w:p>
    <w:p>
      <w:pPr>
        <w:keepNext/>
        <w:keepLines/>
        <w:shd w:fill="F1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Stage 1 application drafted                   ███</w:t>
      </w:r>
    </w:p>
    <w:p>
      <w:pPr>
        <w:spacing w:after="120"/>
      </w:pPr>
    </w:p>
    <w:p>
      <w:pPr>
        <w:pBdr>
          <w:bottom w:val="single" w:color="CBD5E1" w:sz="6" w:space="1"/>
        </w:pBd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0F766E"/>
          <w:sz w:val="28"/>
          <w:szCs w:val="28"/>
        </w:rPr>
        <w:t xml:space="preserve">12. Alignment with FID selection criteria</w:t>
      </w:r>
    </w:p>
    <w:tbl>
      <w:tblPr>
        <w:tblW w:type="dxa" w:w="9638"/>
        <w:tblBorders>
          <w:top w:val="single" w:color="CBD5E1" w:sz="4"/>
          <w:left w:val="none" w:sz="0"/>
          <w:bottom w:val="single" w:color="CBD5E1" w:sz="4"/>
          <w:right w:val="none" w:sz="0"/>
          <w:insideH w:val="single" w:color="E2E8F0" w:sz="4"/>
          <w:insideV w:val="none" w:sz="0"/>
        </w:tblBorders>
      </w:tblPr>
      <w:tblGrid>
        <w:gridCol w:w="2899"/>
        <w:gridCol w:w="4036"/>
        <w:gridCol w:w="2703"/>
      </w:tblGrid>
      <w:tr>
        <w:trPr>
          <w:tblHeader/>
        </w:trPr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FID criterion</w:t>
            </w:r>
          </w:p>
        </w:tc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this proposal meets it</w:t>
            </w:r>
          </w:p>
        </w:tc>
        <w:tc>
          <w:tcPr>
            <w:tcW w:type="dxa" w:w="0"/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Gap closed by Stage 0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Impact on people living in poverty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Protects savings and credit access of ~18M mostly rural, low-income SACCO members; prevents institutional collapse that wipes out savings.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Baseline fraud-loss and member-exposure data (A3, A7).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Cost-effectiveness vs. existing approaches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Automated 100% coverage vs. manual audit of 5–10% of loans; marginal cost per institution is small relative to 2–5% annual losses.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Actual unit costs and loss-averted estimates (A6).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Potential for scale and sustainability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Federated hub designed as sector infrastructure (UMRA/UCSCU); open-source integration (Tazama); regional replicability.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Regulator and apex-body engagement (A1).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Innovation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First federated-learning fraud detection for SACCOs/MFIs in Africa; solves data scarcity and privacy-law constraints together.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 (established in the paper)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Readiness for the requested stage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Stage 0 is for promising applications that need preparation before a pilot; the MVP is prototyped and the federated design is published.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Real-data validation (A2, A4).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Rigorous evaluation with a counterfactual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Institution-level cluster RCT with phased roll-out proposed (§5).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Research partner and pre-registered design (A5).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Priority sectors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 education/health/climate directly; </w:t>
            </w:r>
            <w:r>
              <w:rPr>
                <w:b/>
                <w:bCs/>
                <w:sz w:val="19"/>
                <w:szCs w:val="19"/>
              </w:rPr>
              <w:t xml:space="preserve">gender equality</w:t>
            </w:r>
            <w:r>
              <w:rPr>
                <w:sz w:val="19"/>
                <w:szCs w:val="19"/>
              </w:rPr>
              <w:t xml:space="preserve"> angle via women's disproportionate reliance on SACCOs — to be substantiated.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Gender analysis (A7).</w:t>
            </w:r>
          </w:p>
        </w:tc>
      </w:tr>
    </w:tbl>
    <w:p>
      <w:pPr>
        <w:spacing w:after="120"/>
      </w:pPr>
    </w:p>
    <w:p>
      <w:pPr>
        <w:pBdr>
          <w:bottom w:val="single" w:color="CBD5E1" w:sz="6" w:space="1"/>
        </w:pBd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0F766E"/>
          <w:sz w:val="28"/>
          <w:szCs w:val="28"/>
        </w:rPr>
        <w:t xml:space="preserve">13. Supporting materials in this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docs/FedFraudShield_DSA2026_Paper_v3.pdf</w:t>
      </w:r>
      <w:r>
        <w:t xml:space="preserve"> — technical paper with architecture, DPPA analysis and simulation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mvp/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mvp-fast/</w:t>
      </w:r>
      <w:r>
        <w:t xml:space="preserve"> — working FraudShield prototype (browser-based; accepts any CSV/Excel export).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backend/</w:t>
      </w:r>
      <w:r>
        <w:t xml:space="preserve"> — Python detection engine (rule-based + Isolation Forest / gradient boosting) and smart column-mapping 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demo financial data/</w:t>
      </w:r>
      <w:r>
        <w:t xml:space="preserve"> — synthetic loan datasets used for demonstrations.</w:t>
      </w:r>
    </w:p>
    <w:p>
      <w:pPr>
        <w:pBdr>
          <w:bottom w:val="single" w:color="CBD5E1" w:sz="6" w:space="1"/>
        </w:pBd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0F766E"/>
          <w:sz w:val="28"/>
          <w:szCs w:val="28"/>
        </w:rPr>
        <w:t xml:space="preserve">14. Pre-submission checklist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Confirm legal entity, registration documents and bank account for FraudShield Uganda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Re-read the current FID call guide and rules; confirm Stage 0 ceiling, duration and eligible costs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Secure a letter of intent from at least one research partner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Secure letters of intent from 3–5 SACCOs/MFIs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Obtain a UMRA and/or UCSCU letter of support (or at least a meeting record)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Replace every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[TBC]</w:t>
      </w:r>
      <w:r>
        <w:t xml:space="preserve"> above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Verify all statistics cited (PROFIRA 2021, MTIC sector figures, ACFE 2024) and attach references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Prepare 2-page summary and budget in FID's online application format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 xml:space="preserve">FraudShield Uganda  ·  FID Stage 0 Concept Note  ·  Draft, September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FraudShield Uganda  ·  FID Stage 0 Concept Note  ·  Draft, September 2026</dc:title>
  <dc:creator>FraudShield Uganda</dc:creator>
  <cp:lastModifiedBy>Un-named</cp:lastModifiedBy>
  <cp:revision>1</cp:revision>
  <dcterms:created xsi:type="dcterms:W3CDTF">2026-09-26T07:15:21.073Z</dcterms:created>
  <dcterms:modified xsi:type="dcterms:W3CDTF">2026-09-26T07:15:21.073Z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