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0F766E"/>
          <w:sz w:val="44"/>
          <w:szCs w:val="44"/>
        </w:rPr>
        <w:t xml:space="preserve">Pilot Proposal — Fund for Innovation in Development (FID)</w:t>
      </w:r>
    </w:p>
    <w:p>
      <w:pPr>
        <w:spacing w:after="120"/>
      </w:pPr>
      <w:r>
        <w:rPr>
          <w:b/>
          <w:bCs/>
        </w:rPr>
        <w:t xml:space="preserve">Stage requested:</w:t>
      </w:r>
      <w:r>
        <w:t xml:space="preserve"> Stage 1 / Pilot grant (up to €200,000)</w:t>
      </w:r>
    </w:p>
    <w:p>
      <w:pPr>
        <w:spacing w:after="120"/>
      </w:pPr>
      <w:r>
        <w:rPr>
          <w:b/>
          <w:bCs/>
        </w:rPr>
        <w:t xml:space="preserve">Project title:</w:t>
      </w:r>
      <w:r>
        <w:t xml:space="preserve"> FedFraudShield Pilot — Testing privacy-preserving, collaborative fraud detection in 48 Ugandan SACCOs and microfinance institutions</w:t>
      </w:r>
    </w:p>
    <w:p>
      <w:pPr>
        <w:spacing w:after="120"/>
      </w:pPr>
      <w:r>
        <w:rPr>
          <w:b/>
          <w:bCs/>
        </w:rPr>
        <w:t xml:space="preserve">Country:</w:t>
      </w:r>
      <w:r>
        <w:t xml:space="preserve"> Uganda (ODA-eligible, OECD DAC list)</w:t>
      </w:r>
    </w:p>
    <w:p>
      <w:pPr>
        <w:spacing w:after="120"/>
      </w:pPr>
      <w:r>
        <w:rPr>
          <w:b/>
          <w:bCs/>
        </w:rPr>
        <w:t xml:space="preserve">Applicant:</w:t>
      </w:r>
      <w:r>
        <w:t xml:space="preserve"> FraudShield Uganda </w:t>
      </w:r>
      <w:r>
        <w:rPr>
          <w:i/>
          <w:iCs/>
        </w:rPr>
        <w:t xml:space="preserve">(legal entity name and registration number to be inserted)</w:t>
      </w:r>
    </w:p>
    <w:p>
      <w:pPr>
        <w:spacing w:after="120"/>
      </w:pPr>
      <w:r>
        <w:rPr>
          <w:b/>
          <w:bCs/>
        </w:rPr>
        <w:t xml:space="preserve">Lead:</w:t>
      </w:r>
      <w:r>
        <w:t xml:space="preserve"> Raymond R. Wayesu, Founder &amp; Lead Data Scientist — raymondrwayesu@gmail.com · +256 784 902 753</w:t>
      </w:r>
    </w:p>
    <w:p>
      <w:pPr>
        <w:spacing w:after="120"/>
      </w:pPr>
      <w:r>
        <w:rPr>
          <w:b/>
          <w:bCs/>
        </w:rPr>
        <w:t xml:space="preserve">Research partner:</w:t>
      </w:r>
      <w:r>
        <w:t xml:space="preserve"> </w:t>
      </w:r>
      <w:r>
        <w:rPr>
          <w:i/>
          <w:iCs/>
        </w:rPr>
        <w:t xml:space="preserve">(to be confirmed — see Section 10)</w:t>
      </w:r>
    </w:p>
    <w:p>
      <w:pPr>
        <w:spacing w:after="120"/>
      </w:pPr>
      <w:r>
        <w:rPr>
          <w:b/>
          <w:bCs/>
        </w:rPr>
        <w:t xml:space="preserve">Duration:</w:t>
      </w:r>
      <w:r>
        <w:t xml:space="preserve"> 18 months</w:t>
      </w:r>
    </w:p>
    <w:p>
      <w:pPr>
        <w:spacing w:after="120"/>
      </w:pPr>
      <w:r>
        <w:rPr>
          <w:b/>
          <w:bCs/>
        </w:rPr>
        <w:t xml:space="preserve">Requested amount:</w:t>
      </w:r>
      <w:r>
        <w:t xml:space="preserve"> €198,500</w:t>
      </w:r>
    </w:p>
    <w:p>
      <w:pPr>
        <w:spacing w:after="120"/>
      </w:pPr>
      <w:r>
        <w:rPr>
          <w:b/>
          <w:bCs/>
        </w:rPr>
        <w:t xml:space="preserve">Date:</w:t>
      </w:r>
      <w:r>
        <w:t xml:space="preserve"> September 2026</w:t>
      </w:r>
    </w:p>
    <w:p>
      <w:pPr>
        <w:pBdr>
          <w:left w:val="single" w:color="F59E0B" w:sz="18" w:space="8"/>
        </w:pBdr>
        <w:shd w:fill="FEF3C7" w:val="clear"/>
        <w:spacing w:after="160" w:before="60"/>
        <w:ind w:left="200"/>
      </w:pPr>
      <w:r>
        <w:rPr>
          <w:b/>
          <w:bCs/>
          <w:i/>
          <w:iCs/>
          <w:color w:val="78350F"/>
          <w:sz w:val="20"/>
          <w:szCs w:val="20"/>
        </w:rPr>
        <w:t xml:space="preserve">Status of this document:</w:t>
      </w:r>
      <w:r>
        <w:rPr>
          <w:i/>
          <w:iCs/>
          <w:color w:val="78350F"/>
          <w:sz w:val="20"/>
          <w:szCs w:val="20"/>
        </w:rPr>
        <w:t xml:space="preserve"> working draft prepared alongside the Stage 0 concept note (</w:t>
      </w:r>
      <w:r>
        <w:rPr>
          <w:rFonts w:ascii="Consolas" w:cs="Consolas" w:eastAsia="Consolas" w:hAnsi="Consolas"/>
          <w:i/>
          <w:iCs/>
          <w:color w:val="78350F"/>
          <w:sz w:val="20"/>
          <w:szCs w:val="20"/>
          <w:shd w:fill="F1F5F9" w:val="clear"/>
        </w:rPr>
        <w:t xml:space="preserve">docs/FID_Stage0_Concept_Note.md</w:t>
      </w:r>
      <w:r>
        <w:rPr>
          <w:i/>
          <w:iCs/>
          <w:color w:val="78350F"/>
          <w:sz w:val="20"/>
          <w:szCs w:val="20"/>
        </w:rPr>
        <w:t xml:space="preserve">). It assumes Stage 0 has been completed; every figure that Stage 0 is meant to produce is marked </w:t>
      </w:r>
      <w:r>
        <w:rPr>
          <w:rFonts w:ascii="Consolas" w:cs="Consolas" w:eastAsia="Consolas" w:hAnsi="Consolas"/>
          <w:i/>
          <w:iCs/>
          <w:color w:val="78350F"/>
          <w:sz w:val="20"/>
          <w:szCs w:val="20"/>
          <w:shd w:fill="F1F5F9" w:val="clear"/>
        </w:rPr>
        <w:t xml:space="preserve">[Stage 0 result]</w:t>
      </w:r>
      <w:r>
        <w:rPr>
          <w:i/>
          <w:iCs/>
          <w:color w:val="78350F"/>
          <w:sz w:val="20"/>
          <w:szCs w:val="20"/>
        </w:rPr>
        <w:t xml:space="preserve"> and must be replaced with actual results. Items marked </w:t>
      </w:r>
      <w:r>
        <w:rPr>
          <w:rFonts w:ascii="Consolas" w:cs="Consolas" w:eastAsia="Consolas" w:hAnsi="Consolas"/>
          <w:i/>
          <w:iCs/>
          <w:color w:val="78350F"/>
          <w:sz w:val="20"/>
          <w:szCs w:val="20"/>
          <w:shd w:fill="F1F5F9" w:val="clear"/>
        </w:rPr>
        <w:t xml:space="preserve">[TBC]</w:t>
      </w:r>
      <w:r>
        <w:rPr>
          <w:i/>
          <w:iCs/>
          <w:color w:val="78350F"/>
          <w:sz w:val="20"/>
          <w:szCs w:val="20"/>
        </w:rPr>
        <w:t xml:space="preserve"> must be confirmed before submission. FID rules (stage definitions, ceilings, eligible costs) must be re-checked against the current call guide on fundinnovation.dev.</w:t>
      </w:r>
    </w:p>
    <w:p>
      <w:pPr>
        <w:pBdr>
          <w:bottom w:val="single" w:color="CBD5E1" w:sz="6" w:space="1"/>
        </w:pBdr>
        <w:spacing w:after="160"/>
      </w:pPr>
    </w:p>
    <w:p>
      <w:pPr>
        <w:pStyle w:val="Heading1"/>
        <w:spacing w:after="140" w:before="320"/>
      </w:pPr>
      <w:r>
        <w:rPr>
          <w:b/>
          <w:bCs/>
          <w:color w:val="0F766E"/>
          <w:sz w:val="28"/>
          <w:szCs w:val="28"/>
        </w:rPr>
        <w:t xml:space="preserve">1. Executive summary</w:t>
      </w:r>
    </w:p>
    <w:p>
      <w:pPr>
        <w:spacing w:after="120"/>
      </w:pPr>
      <w:r>
        <w:t xml:space="preserve">Internal fraud drains an estimated 2–5% of portfolio value from Uganda's 28,500+ SACCOs and 150+ microfinance institutions every year — UGX 100–250 billion — and when a SACCO fails, its members, mostly rural and low-income households, lose their savings outright. No affordable, data-driven fraud detection exists for this sector: individual institutions have too little data to train a model, and Uganda's Data Protection and Privacy Act (DPPA 2019) prevents pooling raw records.</w:t>
      </w:r>
    </w:p>
    <w:p>
      <w:pPr>
        <w:spacing w:after="120"/>
      </w:pPr>
      <w:r>
        <w:rPr>
          <w:b/>
          <w:bCs/>
        </w:rPr>
        <w:t xml:space="preserve">FedFraudShield</w:t>
      </w:r>
      <w:r>
        <w:t xml:space="preserve"> solves both constraints at once. Each institution runs a rule-based detector (the FraudShield tool) on its own loan book and, optionally, a small local neural model whose </w:t>
      </w:r>
      <w:r>
        <w:rPr>
          <w:i/>
          <w:iCs/>
        </w:rPr>
        <w:t xml:space="preserve">parameter updates only</w:t>
      </w:r>
      <w:r>
        <w:t xml:space="preserve"> — never raw data — are combined into a shared model across institutions. In simulation, federated training raised detection quality (AUPRC) from 0.64 to 0.95. Stage 0 </w:t>
      </w:r>
      <w:r>
        <w:rPr>
          <w:rFonts w:ascii="Consolas" w:cs="Consolas" w:eastAsia="Consolas" w:hAnsi="Consolas"/>
          <w:sz w:val="18"/>
          <w:szCs w:val="18"/>
          <w:shd w:fill="F1F5F9" w:val="clear"/>
        </w:rPr>
        <w:t xml:space="preserve">[Stage 0 result: summarise real-data validation with N partner SACCOs — precision/recall on confirmed cases, bandwidth, schema-mapping success rate]</w:t>
      </w:r>
      <w:r>
        <w:t xml:space="preserve">.</w:t>
      </w:r>
    </w:p>
    <w:p>
      <w:pPr>
        <w:spacing w:after="120"/>
      </w:pPr>
      <w:r>
        <w:t xml:space="preserve">This Stage 1 pilot will deploy the intervention in </w:t>
      </w:r>
      <w:r>
        <w:rPr>
          <w:b/>
          <w:bCs/>
        </w:rPr>
        <w:t xml:space="preserve">48 institutions across four regions for 12 months</w:t>
      </w:r>
      <w:r>
        <w:t xml:space="preserve">, randomising the timing of roll-out so that the pilot generates a credible first estimate of impact on fraud losses and portfolio quality while every participant receives the tool by the end of the pilot. It will answer the questions FID needs answered before a Stage 2 impact evaluation: Does it work on real data at scale? Do SACCO staff act on alerts? What does it cost per institution and per shilling of loss averted? And does federation add value over the rule-based tool alone?</w:t>
      </w:r>
    </w:p>
    <w:p>
      <w:pPr>
        <w:pBdr>
          <w:bottom w:val="single" w:color="CBD5E1" w:sz="6" w:space="1"/>
        </w:pBdr>
        <w:spacing w:after="160"/>
      </w:pPr>
    </w:p>
    <w:p>
      <w:pPr>
        <w:pStyle w:val="Heading1"/>
        <w:spacing w:after="140" w:before="320"/>
      </w:pPr>
      <w:r>
        <w:rPr>
          <w:b/>
          <w:bCs/>
          <w:color w:val="0F766E"/>
          <w:sz w:val="28"/>
          <w:szCs w:val="28"/>
        </w:rPr>
        <w:t xml:space="preserve">2. Problem and target population</w:t>
      </w:r>
    </w:p>
    <w:p>
      <w:pPr>
        <w:pStyle w:val="Heading2"/>
        <w:spacing w:after="100" w:before="200"/>
      </w:pPr>
      <w:r>
        <w:rPr>
          <w:b/>
          <w:bCs/>
          <w:color w:val="0F172A"/>
          <w:sz w:val="24"/>
          <w:szCs w:val="24"/>
        </w:rPr>
        <w:t xml:space="preserve">2.1 Who is affected and how</w:t>
      </w:r>
    </w:p>
    <w:tbl>
      <w:tblPr>
        <w:tblW w:type="dxa" w:w="9638"/>
        <w:tblBorders>
          <w:top w:val="single" w:color="CBD5E1" w:sz="4"/>
          <w:left w:val="none" w:sz="0"/>
          <w:bottom w:val="single" w:color="CBD5E1" w:sz="4"/>
          <w:right w:val="none" w:sz="0"/>
          <w:insideH w:val="single" w:color="E2E8F0" w:sz="4"/>
          <w:insideV w:val="none" w:sz="0"/>
        </w:tblBorders>
      </w:tblPr>
      <w:tblGrid>
        <w:gridCol w:w="3166"/>
        <w:gridCol w:w="6472"/>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Aspect</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Detail</w:t>
            </w:r>
          </w:p>
        </w:tc>
      </w:tr>
      <w:tr>
        <w:trPr>
          <w:tblHeader w:val="false"/>
        </w:trPr>
        <w:tc>
          <w:tcPr>
            <w:tcW w:type="dxa" w:w="0"/>
            <w:tcMar>
              <w:top w:type="dxa" w:w="60"/>
              <w:left w:type="dxa" w:w="90"/>
              <w:bottom w:type="dxa" w:w="60"/>
              <w:right w:type="dxa" w:w="90"/>
            </w:tcMar>
          </w:tcPr>
          <w:p>
            <w:pPr>
              <w:spacing w:after="0"/>
            </w:pPr>
            <w:r>
              <w:rPr>
                <w:b/>
                <w:bCs/>
                <w:sz w:val="19"/>
                <w:szCs w:val="19"/>
              </w:rPr>
              <w:t xml:space="preserve">Population</w:t>
            </w:r>
          </w:p>
        </w:tc>
        <w:tc>
          <w:tcPr>
            <w:tcW w:type="dxa" w:w="0"/>
            <w:tcMar>
              <w:top w:type="dxa" w:w="60"/>
              <w:left w:type="dxa" w:w="90"/>
              <w:bottom w:type="dxa" w:w="60"/>
              <w:right w:type="dxa" w:w="90"/>
            </w:tcMar>
          </w:tcPr>
          <w:p>
            <w:pPr>
              <w:spacing w:after="0"/>
            </w:pPr>
            <w:r>
              <w:rPr>
                <w:sz w:val="19"/>
                <w:szCs w:val="19"/>
              </w:rPr>
              <w:t xml:space="preserve">~18 million SACCO/MFI members in Uganda; predominantly rural, informal-sector households. </w:t>
            </w:r>
            <w:r>
              <w:rPr>
                <w:rFonts w:ascii="Consolas" w:cs="Consolas" w:eastAsia="Consolas" w:hAnsi="Consolas"/>
                <w:sz w:val="19"/>
                <w:szCs w:val="19"/>
                <w:shd w:fill="F1F5F9" w:val="clear"/>
              </w:rPr>
              <w:t xml:space="preserve">[TBC: cite share of women members; UCSCU/UMRA data]</w:t>
            </w:r>
          </w:p>
        </w:tc>
      </w:tr>
      <w:tr>
        <w:trPr>
          <w:tblHeader w:val="false"/>
        </w:trPr>
        <w:tc>
          <w:tcPr>
            <w:tcW w:type="dxa" w:w="0"/>
            <w:tcMar>
              <w:top w:type="dxa" w:w="60"/>
              <w:left w:type="dxa" w:w="90"/>
              <w:bottom w:type="dxa" w:w="60"/>
              <w:right w:type="dxa" w:w="90"/>
            </w:tcMar>
          </w:tcPr>
          <w:p>
            <w:pPr>
              <w:spacing w:after="0"/>
            </w:pPr>
            <w:r>
              <w:rPr>
                <w:b/>
                <w:bCs/>
                <w:sz w:val="19"/>
                <w:szCs w:val="19"/>
              </w:rPr>
              <w:t xml:space="preserve">Direct harm</w:t>
            </w:r>
          </w:p>
        </w:tc>
        <w:tc>
          <w:tcPr>
            <w:tcW w:type="dxa" w:w="0"/>
            <w:tcMar>
              <w:top w:type="dxa" w:w="60"/>
              <w:left w:type="dxa" w:w="90"/>
              <w:bottom w:type="dxa" w:w="60"/>
              <w:right w:type="dxa" w:w="90"/>
            </w:tcMar>
          </w:tcPr>
          <w:p>
            <w:pPr>
              <w:spacing w:after="0"/>
            </w:pPr>
            <w:r>
              <w:rPr>
                <w:sz w:val="19"/>
                <w:szCs w:val="19"/>
              </w:rPr>
              <w:t xml:space="preserve">Loss of savings on SACCO collapse; higher interest and tighter lending to cover losses; exclusion from formal credit when a local SACCO fails.</w:t>
            </w:r>
          </w:p>
        </w:tc>
      </w:tr>
      <w:tr>
        <w:trPr>
          <w:tblHeader w:val="false"/>
        </w:trPr>
        <w:tc>
          <w:tcPr>
            <w:tcW w:type="dxa" w:w="0"/>
            <w:tcMar>
              <w:top w:type="dxa" w:w="60"/>
              <w:left w:type="dxa" w:w="90"/>
              <w:bottom w:type="dxa" w:w="60"/>
              <w:right w:type="dxa" w:w="90"/>
            </w:tcMar>
          </w:tcPr>
          <w:p>
            <w:pPr>
              <w:spacing w:after="0"/>
            </w:pPr>
            <w:r>
              <w:rPr>
                <w:b/>
                <w:bCs/>
                <w:sz w:val="19"/>
                <w:szCs w:val="19"/>
              </w:rPr>
              <w:t xml:space="preserve">Sector loss</w:t>
            </w:r>
          </w:p>
        </w:tc>
        <w:tc>
          <w:tcPr>
            <w:tcW w:type="dxa" w:w="0"/>
            <w:tcMar>
              <w:top w:type="dxa" w:w="60"/>
              <w:left w:type="dxa" w:w="90"/>
              <w:bottom w:type="dxa" w:w="60"/>
              <w:right w:type="dxa" w:w="90"/>
            </w:tcMar>
          </w:tcPr>
          <w:p>
            <w:pPr>
              <w:spacing w:after="0"/>
            </w:pPr>
            <w:r>
              <w:rPr>
                <w:sz w:val="19"/>
                <w:szCs w:val="19"/>
              </w:rPr>
              <w:t xml:space="preserve">UGX 100–250 billion / year (≈ USD 27–68 million), on a &gt;UGX 5 trillion asset base.</w:t>
            </w:r>
          </w:p>
        </w:tc>
      </w:tr>
      <w:tr>
        <w:trPr>
          <w:tblHeader w:val="false"/>
        </w:trPr>
        <w:tc>
          <w:tcPr>
            <w:tcW w:type="dxa" w:w="0"/>
            <w:tcMar>
              <w:top w:type="dxa" w:w="60"/>
              <w:left w:type="dxa" w:w="90"/>
              <w:bottom w:type="dxa" w:w="60"/>
              <w:right w:type="dxa" w:w="90"/>
            </w:tcMar>
          </w:tcPr>
          <w:p>
            <w:pPr>
              <w:spacing w:after="0"/>
            </w:pPr>
            <w:r>
              <w:rPr>
                <w:b/>
                <w:bCs/>
                <w:sz w:val="19"/>
                <w:szCs w:val="19"/>
              </w:rPr>
              <w:t xml:space="preserve">Institutional failure</w:t>
            </w:r>
          </w:p>
        </w:tc>
        <w:tc>
          <w:tcPr>
            <w:tcW w:type="dxa" w:w="0"/>
            <w:tcMar>
              <w:top w:type="dxa" w:w="60"/>
              <w:left w:type="dxa" w:w="90"/>
              <w:bottom w:type="dxa" w:w="60"/>
              <w:right w:type="dxa" w:w="90"/>
            </w:tcMar>
          </w:tcPr>
          <w:p>
            <w:pPr>
              <w:spacing w:after="0"/>
            </w:pPr>
            <w:r>
              <w:rPr>
                <w:sz w:val="19"/>
                <w:szCs w:val="19"/>
              </w:rPr>
              <w:t xml:space="preserve">PROFIRA (2021): of 453 monitored SACCOs, 312 struggling due to fraud and governance failures; 64 collapsed.</w:t>
            </w:r>
          </w:p>
        </w:tc>
      </w:tr>
      <w:tr>
        <w:trPr>
          <w:tblHeader w:val="false"/>
        </w:trPr>
        <w:tc>
          <w:tcPr>
            <w:tcW w:type="dxa" w:w="0"/>
            <w:tcMar>
              <w:top w:type="dxa" w:w="60"/>
              <w:left w:type="dxa" w:w="90"/>
              <w:bottom w:type="dxa" w:w="60"/>
              <w:right w:type="dxa" w:w="90"/>
            </w:tcMar>
          </w:tcPr>
          <w:p>
            <w:pPr>
              <w:spacing w:after="0"/>
            </w:pPr>
            <w:r>
              <w:rPr>
                <w:b/>
                <w:bCs/>
                <w:sz w:val="19"/>
                <w:szCs w:val="19"/>
              </w:rPr>
              <w:t xml:space="preserve">Why existing controls fail</w:t>
            </w:r>
          </w:p>
        </w:tc>
        <w:tc>
          <w:tcPr>
            <w:tcW w:type="dxa" w:w="0"/>
            <w:tcMar>
              <w:top w:type="dxa" w:w="60"/>
              <w:left w:type="dxa" w:w="90"/>
              <w:bottom w:type="dxa" w:w="60"/>
              <w:right w:type="dxa" w:w="90"/>
            </w:tcMar>
          </w:tcPr>
          <w:p>
            <w:pPr>
              <w:spacing w:after="0"/>
            </w:pPr>
            <w:r>
              <w:rPr>
                <w:sz w:val="19"/>
                <w:szCs w:val="19"/>
              </w:rPr>
              <w:t xml:space="preserve">Manual audits sample 5–10% of loans; external audits detect ~3% of fraud (ACFE 2024). Bank-grade fraud tools are priced and designed for institutions with millions of transactions.</w:t>
            </w:r>
          </w:p>
        </w:tc>
      </w:tr>
    </w:tbl>
    <w:p>
      <w:pPr>
        <w:spacing w:after="120"/>
      </w:pPr>
    </w:p>
    <w:p>
      <w:pPr>
        <w:pStyle w:val="Heading2"/>
        <w:spacing w:after="100" w:before="200"/>
      </w:pPr>
      <w:r>
        <w:rPr>
          <w:b/>
          <w:bCs/>
          <w:color w:val="0F172A"/>
          <w:sz w:val="24"/>
          <w:szCs w:val="24"/>
        </w:rPr>
        <w:t xml:space="preserve">2.2 Fraud typologies the intervention targets</w:t>
      </w:r>
    </w:p>
    <w:tbl>
      <w:tblPr>
        <w:tblW w:type="dxa" w:w="9638"/>
        <w:tblBorders>
          <w:top w:val="single" w:color="CBD5E1" w:sz="4"/>
          <w:left w:val="none" w:sz="0"/>
          <w:bottom w:val="single" w:color="CBD5E1" w:sz="4"/>
          <w:right w:val="none" w:sz="0"/>
          <w:insideH w:val="single" w:color="E2E8F0" w:sz="4"/>
          <w:insideV w:val="none" w:sz="0"/>
        </w:tblBorders>
      </w:tblPr>
      <w:tblGrid>
        <w:gridCol w:w="2225"/>
        <w:gridCol w:w="3667"/>
        <w:gridCol w:w="3746"/>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Typology</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Mechanism</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Detection signal</w:t>
            </w:r>
          </w:p>
        </w:tc>
      </w:tr>
      <w:tr>
        <w:trPr>
          <w:tblHeader w:val="false"/>
        </w:trPr>
        <w:tc>
          <w:tcPr>
            <w:tcW w:type="dxa" w:w="0"/>
            <w:tcMar>
              <w:top w:type="dxa" w:w="60"/>
              <w:left w:type="dxa" w:w="90"/>
              <w:bottom w:type="dxa" w:w="60"/>
              <w:right w:type="dxa" w:w="90"/>
            </w:tcMar>
          </w:tcPr>
          <w:p>
            <w:pPr>
              <w:spacing w:after="0"/>
            </w:pPr>
            <w:r>
              <w:rPr>
                <w:sz w:val="19"/>
                <w:szCs w:val="19"/>
              </w:rPr>
              <w:t xml:space="preserve">Ghost loans</w:t>
            </w:r>
          </w:p>
        </w:tc>
        <w:tc>
          <w:tcPr>
            <w:tcW w:type="dxa" w:w="0"/>
            <w:tcMar>
              <w:top w:type="dxa" w:w="60"/>
              <w:left w:type="dxa" w:w="90"/>
              <w:bottom w:type="dxa" w:w="60"/>
              <w:right w:type="dxa" w:w="90"/>
            </w:tcMar>
          </w:tcPr>
          <w:p>
            <w:pPr>
              <w:spacing w:after="0"/>
            </w:pPr>
            <w:r>
              <w:rPr>
                <w:sz w:val="19"/>
                <w:szCs w:val="19"/>
              </w:rPr>
              <w:t xml:space="preserve">Loans booked to fictitious borrowers; officer pockets disbursement</w:t>
            </w:r>
          </w:p>
        </w:tc>
        <w:tc>
          <w:tcPr>
            <w:tcW w:type="dxa" w:w="0"/>
            <w:tcMar>
              <w:top w:type="dxa" w:w="60"/>
              <w:left w:type="dxa" w:w="90"/>
              <w:bottom w:type="dxa" w:w="60"/>
              <w:right w:type="dxa" w:w="90"/>
            </w:tcMar>
          </w:tcPr>
          <w:p>
            <w:pPr>
              <w:spacing w:after="0"/>
            </w:pPr>
            <w:r>
              <w:rPr>
                <w:sz w:val="19"/>
                <w:szCs w:val="19"/>
              </w:rPr>
              <w:t xml:space="preserve">Shared phone numbers / IDs across "different" borrowers; missing repayment behaviour</w:t>
            </w:r>
          </w:p>
        </w:tc>
      </w:tr>
      <w:tr>
        <w:trPr>
          <w:tblHeader w:val="false"/>
        </w:trPr>
        <w:tc>
          <w:tcPr>
            <w:tcW w:type="dxa" w:w="0"/>
            <w:tcMar>
              <w:top w:type="dxa" w:w="60"/>
              <w:left w:type="dxa" w:w="90"/>
              <w:bottom w:type="dxa" w:w="60"/>
              <w:right w:type="dxa" w:w="90"/>
            </w:tcMar>
          </w:tcPr>
          <w:p>
            <w:pPr>
              <w:spacing w:after="0"/>
            </w:pPr>
            <w:r>
              <w:rPr>
                <w:sz w:val="19"/>
                <w:szCs w:val="19"/>
              </w:rPr>
              <w:t xml:space="preserve">Officer self-lending</w:t>
            </w:r>
          </w:p>
        </w:tc>
        <w:tc>
          <w:tcPr>
            <w:tcW w:type="dxa" w:w="0"/>
            <w:tcMar>
              <w:top w:type="dxa" w:w="60"/>
              <w:left w:type="dxa" w:w="90"/>
              <w:bottom w:type="dxa" w:w="60"/>
              <w:right w:type="dxa" w:w="90"/>
            </w:tcMar>
          </w:tcPr>
          <w:p>
            <w:pPr>
              <w:spacing w:after="0"/>
            </w:pPr>
            <w:r>
              <w:rPr>
                <w:sz w:val="19"/>
                <w:szCs w:val="19"/>
              </w:rPr>
              <w:t xml:space="preserve">Officer approves loans to self or proxies</w:t>
            </w:r>
          </w:p>
        </w:tc>
        <w:tc>
          <w:tcPr>
            <w:tcW w:type="dxa" w:w="0"/>
            <w:tcMar>
              <w:top w:type="dxa" w:w="60"/>
              <w:left w:type="dxa" w:w="90"/>
              <w:bottom w:type="dxa" w:w="60"/>
              <w:right w:type="dxa" w:w="90"/>
            </w:tcMar>
          </w:tcPr>
          <w:p>
            <w:pPr>
              <w:spacing w:after="0"/>
            </w:pPr>
            <w:r>
              <w:rPr>
                <w:sz w:val="19"/>
                <w:szCs w:val="19"/>
              </w:rPr>
              <w:t xml:space="preserve">Officer ID = borrower ID; approvals concentrated in one officer</w:t>
            </w:r>
          </w:p>
        </w:tc>
      </w:tr>
      <w:tr>
        <w:trPr>
          <w:tblHeader w:val="false"/>
        </w:trPr>
        <w:tc>
          <w:tcPr>
            <w:tcW w:type="dxa" w:w="0"/>
            <w:tcMar>
              <w:top w:type="dxa" w:w="60"/>
              <w:left w:type="dxa" w:w="90"/>
              <w:bottom w:type="dxa" w:w="60"/>
              <w:right w:type="dxa" w:w="90"/>
            </w:tcMar>
          </w:tcPr>
          <w:p>
            <w:pPr>
              <w:spacing w:after="0"/>
            </w:pPr>
            <w:r>
              <w:rPr>
                <w:sz w:val="19"/>
                <w:szCs w:val="19"/>
              </w:rPr>
              <w:t xml:space="preserve">Loan stacking</w:t>
            </w:r>
          </w:p>
        </w:tc>
        <w:tc>
          <w:tcPr>
            <w:tcW w:type="dxa" w:w="0"/>
            <w:tcMar>
              <w:top w:type="dxa" w:w="60"/>
              <w:left w:type="dxa" w:w="90"/>
              <w:bottom w:type="dxa" w:w="60"/>
              <w:right w:type="dxa" w:w="90"/>
            </w:tcMar>
          </w:tcPr>
          <w:p>
            <w:pPr>
              <w:spacing w:after="0"/>
            </w:pPr>
            <w:r>
              <w:rPr>
                <w:sz w:val="19"/>
                <w:szCs w:val="19"/>
              </w:rPr>
              <w:t xml:space="preserve">Same member takes multiple concurrent loans, often across branches</w:t>
            </w:r>
          </w:p>
        </w:tc>
        <w:tc>
          <w:tcPr>
            <w:tcW w:type="dxa" w:w="0"/>
            <w:tcMar>
              <w:top w:type="dxa" w:w="60"/>
              <w:left w:type="dxa" w:w="90"/>
              <w:bottom w:type="dxa" w:w="60"/>
              <w:right w:type="dxa" w:w="90"/>
            </w:tcMar>
          </w:tcPr>
          <w:p>
            <w:pPr>
              <w:spacing w:after="0"/>
            </w:pPr>
            <w:r>
              <w:rPr>
                <w:sz w:val="19"/>
                <w:szCs w:val="19"/>
              </w:rPr>
              <w:t xml:space="preserve">Same borrower, multiple disbursements same day / overlapping terms</w:t>
            </w:r>
          </w:p>
        </w:tc>
      </w:tr>
      <w:tr>
        <w:trPr>
          <w:tblHeader w:val="false"/>
        </w:trPr>
        <w:tc>
          <w:tcPr>
            <w:tcW w:type="dxa" w:w="0"/>
            <w:tcMar>
              <w:top w:type="dxa" w:w="60"/>
              <w:left w:type="dxa" w:w="90"/>
              <w:bottom w:type="dxa" w:w="60"/>
              <w:right w:type="dxa" w:w="90"/>
            </w:tcMar>
          </w:tcPr>
          <w:p>
            <w:pPr>
              <w:spacing w:after="0"/>
            </w:pPr>
            <w:r>
              <w:rPr>
                <w:sz w:val="19"/>
                <w:szCs w:val="19"/>
              </w:rPr>
              <w:t xml:space="preserve">Collusion rings</w:t>
            </w:r>
          </w:p>
        </w:tc>
        <w:tc>
          <w:tcPr>
            <w:tcW w:type="dxa" w:w="0"/>
            <w:tcMar>
              <w:top w:type="dxa" w:w="60"/>
              <w:left w:type="dxa" w:w="90"/>
              <w:bottom w:type="dxa" w:w="60"/>
              <w:right w:type="dxa" w:w="90"/>
            </w:tcMar>
          </w:tcPr>
          <w:p>
            <w:pPr>
              <w:spacing w:after="0"/>
            </w:pPr>
            <w:r>
              <w:rPr>
                <w:sz w:val="19"/>
                <w:szCs w:val="19"/>
              </w:rPr>
              <w:t xml:space="preserve">Officer + group of borrowers + shared guarantor</w:t>
            </w:r>
          </w:p>
        </w:tc>
        <w:tc>
          <w:tcPr>
            <w:tcW w:type="dxa" w:w="0"/>
            <w:tcMar>
              <w:top w:type="dxa" w:w="60"/>
              <w:left w:type="dxa" w:w="90"/>
              <w:bottom w:type="dxa" w:w="60"/>
              <w:right w:type="dxa" w:w="90"/>
            </w:tcMar>
          </w:tcPr>
          <w:p>
            <w:pPr>
              <w:spacing w:after="0"/>
            </w:pPr>
            <w:r>
              <w:rPr>
                <w:sz w:val="19"/>
                <w:szCs w:val="19"/>
              </w:rPr>
              <w:t xml:space="preserve">Shared guarantors, geographic clustering, timing patterns</w:t>
            </w:r>
          </w:p>
        </w:tc>
      </w:tr>
      <w:tr>
        <w:trPr>
          <w:tblHeader w:val="false"/>
        </w:trPr>
        <w:tc>
          <w:tcPr>
            <w:tcW w:type="dxa" w:w="0"/>
            <w:tcMar>
              <w:top w:type="dxa" w:w="60"/>
              <w:left w:type="dxa" w:w="90"/>
              <w:bottom w:type="dxa" w:w="60"/>
              <w:right w:type="dxa" w:w="90"/>
            </w:tcMar>
          </w:tcPr>
          <w:p>
            <w:pPr>
              <w:spacing w:after="0"/>
            </w:pPr>
            <w:r>
              <w:rPr>
                <w:sz w:val="19"/>
                <w:szCs w:val="19"/>
              </w:rPr>
              <w:t xml:space="preserve">Timing manipulation</w:t>
            </w:r>
          </w:p>
        </w:tc>
        <w:tc>
          <w:tcPr>
            <w:tcW w:type="dxa" w:w="0"/>
            <w:tcMar>
              <w:top w:type="dxa" w:w="60"/>
              <w:left w:type="dxa" w:w="90"/>
              <w:bottom w:type="dxa" w:w="60"/>
              <w:right w:type="dxa" w:w="90"/>
            </w:tcMar>
          </w:tcPr>
          <w:p>
            <w:pPr>
              <w:spacing w:after="0"/>
            </w:pPr>
            <w:r>
              <w:rPr>
                <w:sz w:val="19"/>
                <w:szCs w:val="19"/>
              </w:rPr>
              <w:t xml:space="preserve">Back-dated or after-hours entries to conceal activity</w:t>
            </w:r>
          </w:p>
        </w:tc>
        <w:tc>
          <w:tcPr>
            <w:tcW w:type="dxa" w:w="0"/>
            <w:tcMar>
              <w:top w:type="dxa" w:w="60"/>
              <w:left w:type="dxa" w:w="90"/>
              <w:bottom w:type="dxa" w:w="60"/>
              <w:right w:type="dxa" w:w="90"/>
            </w:tcMar>
          </w:tcPr>
          <w:p>
            <w:pPr>
              <w:spacing w:after="0"/>
            </w:pPr>
            <w:r>
              <w:rPr>
                <w:sz w:val="19"/>
                <w:szCs w:val="19"/>
              </w:rPr>
              <w:t xml:space="preserve">Approvals outside business hours; end-of-month bunching</w:t>
            </w:r>
          </w:p>
        </w:tc>
      </w:tr>
      <w:tr>
        <w:trPr>
          <w:tblHeader w:val="false"/>
        </w:trPr>
        <w:tc>
          <w:tcPr>
            <w:tcW w:type="dxa" w:w="0"/>
            <w:tcMar>
              <w:top w:type="dxa" w:w="60"/>
              <w:left w:type="dxa" w:w="90"/>
              <w:bottom w:type="dxa" w:w="60"/>
              <w:right w:type="dxa" w:w="90"/>
            </w:tcMar>
          </w:tcPr>
          <w:p>
            <w:pPr>
              <w:spacing w:after="0"/>
            </w:pPr>
            <w:r>
              <w:rPr>
                <w:sz w:val="19"/>
                <w:szCs w:val="19"/>
              </w:rPr>
              <w:t xml:space="preserve">Amount manipulation</w:t>
            </w:r>
          </w:p>
        </w:tc>
        <w:tc>
          <w:tcPr>
            <w:tcW w:type="dxa" w:w="0"/>
            <w:tcMar>
              <w:top w:type="dxa" w:w="60"/>
              <w:left w:type="dxa" w:w="90"/>
              <w:bottom w:type="dxa" w:w="60"/>
              <w:right w:type="dxa" w:w="90"/>
            </w:tcMar>
          </w:tcPr>
          <w:p>
            <w:pPr>
              <w:spacing w:after="0"/>
            </w:pPr>
            <w:r>
              <w:rPr>
                <w:sz w:val="19"/>
                <w:szCs w:val="19"/>
              </w:rPr>
              <w:t xml:space="preserve">Inflated disbursements, round-number loans</w:t>
            </w:r>
          </w:p>
        </w:tc>
        <w:tc>
          <w:tcPr>
            <w:tcW w:type="dxa" w:w="0"/>
            <w:tcMar>
              <w:top w:type="dxa" w:w="60"/>
              <w:left w:type="dxa" w:w="90"/>
              <w:bottom w:type="dxa" w:w="60"/>
              <w:right w:type="dxa" w:w="90"/>
            </w:tcMar>
          </w:tcPr>
          <w:p>
            <w:pPr>
              <w:spacing w:after="0"/>
            </w:pPr>
            <w:r>
              <w:rPr>
                <w:sz w:val="19"/>
                <w:szCs w:val="19"/>
              </w:rPr>
              <w:t xml:space="preserve">Statistical outliers vs. product and branch norms</w:t>
            </w:r>
          </w:p>
        </w:tc>
      </w:tr>
    </w:tbl>
    <w:p>
      <w:pPr>
        <w:spacing w:after="120"/>
      </w:pPr>
    </w:p>
    <w:p>
      <w:pPr>
        <w:pBdr>
          <w:bottom w:val="single" w:color="CBD5E1" w:sz="6" w:space="1"/>
        </w:pBdr>
        <w:spacing w:after="160"/>
      </w:pPr>
    </w:p>
    <w:p>
      <w:pPr>
        <w:pStyle w:val="Heading1"/>
        <w:spacing w:after="140" w:before="320"/>
      </w:pPr>
      <w:r>
        <w:rPr>
          <w:b/>
          <w:bCs/>
          <w:color w:val="0F766E"/>
          <w:sz w:val="28"/>
          <w:szCs w:val="28"/>
        </w:rPr>
        <w:t xml:space="preserve">3. The innovation</w:t>
      </w:r>
    </w:p>
    <w:p>
      <w:pPr>
        <w:pStyle w:val="Heading2"/>
        <w:spacing w:after="100" w:before="200"/>
      </w:pPr>
      <w:r>
        <w:rPr>
          <w:b/>
          <w:bCs/>
          <w:color w:val="0F172A"/>
          <w:sz w:val="24"/>
          <w:szCs w:val="24"/>
        </w:rPr>
        <w:t xml:space="preserve">3.1 Components</w:t>
      </w:r>
    </w:p>
    <w:tbl>
      <w:tblPr>
        <w:tblW w:type="dxa" w:w="9638"/>
        <w:tblBorders>
          <w:top w:val="single" w:color="CBD5E1" w:sz="4"/>
          <w:left w:val="none" w:sz="0"/>
          <w:bottom w:val="single" w:color="CBD5E1" w:sz="4"/>
          <w:right w:val="none" w:sz="0"/>
          <w:insideH w:val="single" w:color="E2E8F0" w:sz="4"/>
          <w:insideV w:val="none" w:sz="0"/>
        </w:tblBorders>
      </w:tblPr>
      <w:tblGrid>
        <w:gridCol w:w="2481"/>
        <w:gridCol w:w="3932"/>
        <w:gridCol w:w="3225"/>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Component</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Function</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Status</w:t>
            </w:r>
          </w:p>
        </w:tc>
      </w:tr>
      <w:tr>
        <w:trPr>
          <w:tblHeader w:val="false"/>
        </w:trPr>
        <w:tc>
          <w:tcPr>
            <w:tcW w:type="dxa" w:w="0"/>
            <w:tcMar>
              <w:top w:type="dxa" w:w="60"/>
              <w:left w:type="dxa" w:w="90"/>
              <w:bottom w:type="dxa" w:w="60"/>
              <w:right w:type="dxa" w:w="90"/>
            </w:tcMar>
          </w:tcPr>
          <w:p>
            <w:pPr>
              <w:spacing w:after="0"/>
            </w:pPr>
            <w:r>
              <w:rPr>
                <w:b/>
                <w:bCs/>
                <w:sz w:val="19"/>
                <w:szCs w:val="19"/>
              </w:rPr>
              <w:t xml:space="preserve">FraudShield tool</w:t>
            </w:r>
            <w:r>
              <w:rPr>
                <w:sz w:val="19"/>
                <w:szCs w:val="19"/>
              </w:rPr>
              <w:t xml:space="preserve"> (Layer 1, rule-based)</w:t>
            </w:r>
          </w:p>
        </w:tc>
        <w:tc>
          <w:tcPr>
            <w:tcW w:type="dxa" w:w="0"/>
            <w:tcMar>
              <w:top w:type="dxa" w:w="60"/>
              <w:left w:type="dxa" w:w="90"/>
              <w:bottom w:type="dxa" w:w="60"/>
              <w:right w:type="dxa" w:w="90"/>
            </w:tcMar>
          </w:tcPr>
          <w:p>
            <w:pPr>
              <w:spacing w:after="0"/>
            </w:pPr>
            <w:r>
              <w:rPr>
                <w:sz w:val="19"/>
                <w:szCs w:val="19"/>
              </w:rPr>
              <w:t xml:space="preserve">Ingests any CSV/Excel export; auto-maps columns via schema matching; runs deterministic and statistical rules for the typologies above; produces ranked alerts with evidence. Works from day one with no training data.</w:t>
            </w:r>
          </w:p>
        </w:tc>
        <w:tc>
          <w:tcPr>
            <w:tcW w:type="dxa" w:w="0"/>
            <w:tcMar>
              <w:top w:type="dxa" w:w="60"/>
              <w:left w:type="dxa" w:w="90"/>
              <w:bottom w:type="dxa" w:w="60"/>
              <w:right w:type="dxa" w:w="90"/>
            </w:tcMar>
          </w:tcPr>
          <w:p>
            <w:pPr>
              <w:spacing w:after="0"/>
            </w:pPr>
            <w:r>
              <w:rPr>
                <w:sz w:val="19"/>
                <w:szCs w:val="19"/>
              </w:rPr>
              <w:t xml:space="preserve">Prototyped; deployed in this repository (</w:t>
            </w:r>
            <w:r>
              <w:rPr>
                <w:rFonts w:ascii="Consolas" w:cs="Consolas" w:eastAsia="Consolas" w:hAnsi="Consolas"/>
                <w:sz w:val="19"/>
                <w:szCs w:val="19"/>
                <w:shd w:fill="F1F5F9" w:val="clear"/>
              </w:rPr>
              <w:t xml:space="preserve">mvp/</w:t>
            </w:r>
            <w:r>
              <w:rPr>
                <w:sz w:val="19"/>
                <w:szCs w:val="19"/>
              </w:rPr>
              <w:t xml:space="preserve">, </w:t>
            </w:r>
            <w:r>
              <w:rPr>
                <w:rFonts w:ascii="Consolas" w:cs="Consolas" w:eastAsia="Consolas" w:hAnsi="Consolas"/>
                <w:sz w:val="19"/>
                <w:szCs w:val="19"/>
                <w:shd w:fill="F1F5F9" w:val="clear"/>
              </w:rPr>
              <w:t xml:space="preserve">mvp-fast/</w:t>
            </w:r>
            <w:r>
              <w:rPr>
                <w:sz w:val="19"/>
                <w:szCs w:val="19"/>
              </w:rPr>
              <w:t xml:space="preserve">, </w:t>
            </w:r>
            <w:r>
              <w:rPr>
                <w:rFonts w:ascii="Consolas" w:cs="Consolas" w:eastAsia="Consolas" w:hAnsi="Consolas"/>
                <w:sz w:val="19"/>
                <w:szCs w:val="19"/>
                <w:shd w:fill="F1F5F9" w:val="clear"/>
              </w:rPr>
              <w:t xml:space="preserve">backend/</w:t>
            </w:r>
            <w:r>
              <w:rPr>
                <w:sz w:val="19"/>
                <w:szCs w:val="19"/>
              </w:rPr>
              <w:t xml:space="preserve">). </w:t>
            </w:r>
            <w:r>
              <w:rPr>
                <w:rFonts w:ascii="Consolas" w:cs="Consolas" w:eastAsia="Consolas" w:hAnsi="Consolas"/>
                <w:sz w:val="19"/>
                <w:szCs w:val="19"/>
                <w:shd w:fill="F1F5F9" w:val="clear"/>
              </w:rPr>
              <w:t xml:space="preserve">[Stage 0 result: validated on real data at N institutions]</w:t>
            </w:r>
          </w:p>
        </w:tc>
      </w:tr>
      <w:tr>
        <w:trPr>
          <w:tblHeader w:val="false"/>
        </w:trPr>
        <w:tc>
          <w:tcPr>
            <w:tcW w:type="dxa" w:w="0"/>
            <w:tcMar>
              <w:top w:type="dxa" w:w="60"/>
              <w:left w:type="dxa" w:w="90"/>
              <w:bottom w:type="dxa" w:w="60"/>
              <w:right w:type="dxa" w:w="90"/>
            </w:tcMar>
          </w:tcPr>
          <w:p>
            <w:pPr>
              <w:spacing w:after="0"/>
            </w:pPr>
            <w:r>
              <w:rPr>
                <w:b/>
                <w:bCs/>
                <w:sz w:val="19"/>
                <w:szCs w:val="19"/>
              </w:rPr>
              <w:t xml:space="preserve">FedFraudShield</w:t>
            </w:r>
            <w:r>
              <w:rPr>
                <w:sz w:val="19"/>
                <w:szCs w:val="19"/>
              </w:rPr>
              <w:t xml:space="preserve"> (Layer 2, federated ML)</w:t>
            </w:r>
          </w:p>
        </w:tc>
        <w:tc>
          <w:tcPr>
            <w:tcW w:type="dxa" w:w="0"/>
            <w:tcMar>
              <w:top w:type="dxa" w:w="60"/>
              <w:left w:type="dxa" w:w="90"/>
              <w:bottom w:type="dxa" w:w="60"/>
              <w:right w:type="dxa" w:w="90"/>
            </w:tcMar>
          </w:tcPr>
          <w:p>
            <w:pPr>
              <w:spacing w:after="0"/>
            </w:pPr>
            <w:r>
              <w:rPr>
                <w:sz w:val="19"/>
                <w:szCs w:val="19"/>
              </w:rPr>
              <w:t xml:space="preserve">Each institution trains a lightweight model locally; differentially-private parameter updates (~100 KB per round) are aggregated on a server hosted in Uganda; the improved global model is returned. No raw data leaves any institution.</w:t>
            </w:r>
          </w:p>
        </w:tc>
        <w:tc>
          <w:tcPr>
            <w:tcW w:type="dxa" w:w="0"/>
            <w:tcMar>
              <w:top w:type="dxa" w:w="60"/>
              <w:left w:type="dxa" w:w="90"/>
              <w:bottom w:type="dxa" w:w="60"/>
              <w:right w:type="dxa" w:w="90"/>
            </w:tcMar>
          </w:tcPr>
          <w:p>
            <w:pPr>
              <w:spacing w:after="0"/>
            </w:pPr>
            <w:r>
              <w:rPr>
                <w:sz w:val="19"/>
                <w:szCs w:val="19"/>
              </w:rPr>
              <w:t xml:space="preserve">Architecture and simulation published (DSA 2026). </w:t>
            </w:r>
            <w:r>
              <w:rPr>
                <w:rFonts w:ascii="Consolas" w:cs="Consolas" w:eastAsia="Consolas" w:hAnsi="Consolas"/>
                <w:sz w:val="19"/>
                <w:szCs w:val="19"/>
                <w:shd w:fill="F1F5F9" w:val="clear"/>
              </w:rPr>
              <w:t xml:space="preserve">[Stage 0 result: federated proof-of-concept over real connectivity]</w:t>
            </w:r>
          </w:p>
        </w:tc>
      </w:tr>
      <w:tr>
        <w:trPr>
          <w:tblHeader w:val="false"/>
        </w:trPr>
        <w:tc>
          <w:tcPr>
            <w:tcW w:type="dxa" w:w="0"/>
            <w:tcMar>
              <w:top w:type="dxa" w:w="60"/>
              <w:left w:type="dxa" w:w="90"/>
              <w:bottom w:type="dxa" w:w="60"/>
              <w:right w:type="dxa" w:w="90"/>
            </w:tcMar>
          </w:tcPr>
          <w:p>
            <w:pPr>
              <w:spacing w:after="0"/>
            </w:pPr>
            <w:r>
              <w:rPr>
                <w:b/>
                <w:bCs/>
                <w:sz w:val="19"/>
                <w:szCs w:val="19"/>
              </w:rPr>
              <w:t xml:space="preserve">Alert and investigation workflow</w:t>
            </w:r>
          </w:p>
        </w:tc>
        <w:tc>
          <w:tcPr>
            <w:tcW w:type="dxa" w:w="0"/>
            <w:tcMar>
              <w:top w:type="dxa" w:w="60"/>
              <w:left w:type="dxa" w:w="90"/>
              <w:bottom w:type="dxa" w:w="60"/>
              <w:right w:type="dxa" w:w="90"/>
            </w:tcMar>
          </w:tcPr>
          <w:p>
            <w:pPr>
              <w:spacing w:after="0"/>
            </w:pPr>
            <w:r>
              <w:rPr>
                <w:sz w:val="19"/>
                <w:szCs w:val="19"/>
              </w:rPr>
              <w:t xml:space="preserve">Weekly ranked alert list (capped to investigation capacity), SMS/WhatsApp notification, case-tracking sheet, feedback loop that labels confirmed/false cases for model improvement.</w:t>
            </w:r>
          </w:p>
        </w:tc>
        <w:tc>
          <w:tcPr>
            <w:tcW w:type="dxa" w:w="0"/>
            <w:tcMar>
              <w:top w:type="dxa" w:w="60"/>
              <w:left w:type="dxa" w:w="90"/>
              <w:bottom w:type="dxa" w:w="60"/>
              <w:right w:type="dxa" w:w="90"/>
            </w:tcMar>
          </w:tcPr>
          <w:p>
            <w:pPr>
              <w:spacing w:after="0"/>
            </w:pPr>
            <w:r>
              <w:rPr>
                <w:sz w:val="19"/>
                <w:szCs w:val="19"/>
              </w:rPr>
              <w:t xml:space="preserve">Designed; to be finalised in pilot month 1–2.</w:t>
            </w:r>
          </w:p>
        </w:tc>
      </w:tr>
    </w:tbl>
    <w:p>
      <w:pPr>
        <w:spacing w:after="120"/>
      </w:pPr>
    </w:p>
    <w:p>
      <w:pPr>
        <w:pStyle w:val="Heading2"/>
        <w:spacing w:after="100" w:before="200"/>
      </w:pPr>
      <w:r>
        <w:rPr>
          <w:b/>
          <w:bCs/>
          <w:color w:val="0F172A"/>
          <w:sz w:val="24"/>
          <w:szCs w:val="24"/>
        </w:rPr>
        <w:t xml:space="preserve">3.2 What makes it new</w:t>
      </w:r>
    </w:p>
    <w:p>
      <w:pPr>
        <w:pStyle w:val="ListParagraph"/>
        <w:numPr>
          <w:ilvl w:val="0"/>
          <w:numId w:val="2"/>
        </w:numPr>
        <w:spacing w:after="60"/>
      </w:pPr>
      <w:r>
        <w:t xml:space="preserve">First federated-learning approach to SACCO/MFI fraud in Africa; gives institutions with </w:t>
      </w:r>
      <w:r>
        <w:rPr>
          <w:b/>
          <w:bCs/>
        </w:rPr>
        <w:t xml:space="preserve">no fraud history</w:t>
      </w:r>
      <w:r>
        <w:t xml:space="preserve"> a working detector from day one.</w:t>
      </w:r>
    </w:p>
    <w:p>
      <w:pPr>
        <w:pStyle w:val="ListParagraph"/>
        <w:numPr>
          <w:ilvl w:val="0"/>
          <w:numId w:val="2"/>
        </w:numPr>
        <w:spacing w:after="60"/>
      </w:pPr>
      <w:r>
        <w:t xml:space="preserve">Built for the operating environment: heterogeneous software (Ensibuuko, Kanzu, Excel), 3G connectivity, DPPA 2019 compliance (§14 data minimality, §7(2)(b)(iii) fraud-prevention basis, §19 no cross-border transfer).</w:t>
      </w:r>
    </w:p>
    <w:p>
      <w:pPr>
        <w:pStyle w:val="ListParagraph"/>
        <w:numPr>
          <w:ilvl w:val="0"/>
          <w:numId w:val="2"/>
        </w:numPr>
        <w:spacing w:after="60"/>
      </w:pPr>
      <w:r>
        <w:t xml:space="preserve">A </w:t>
      </w:r>
      <w:r>
        <w:rPr>
          <w:b/>
          <w:bCs/>
        </w:rPr>
        <w:t xml:space="preserve">deterrence channel</w:t>
      </w:r>
      <w:r>
        <w:t xml:space="preserve"> as well as a detection channel: staff who know transactions are monitored change behaviour before any case is proven.</w:t>
      </w:r>
    </w:p>
    <w:p>
      <w:pPr>
        <w:pStyle w:val="Heading2"/>
        <w:spacing w:after="100" w:before="200"/>
      </w:pPr>
      <w:r>
        <w:rPr>
          <w:b/>
          <w:bCs/>
          <w:color w:val="0F172A"/>
          <w:sz w:val="24"/>
          <w:szCs w:val="24"/>
        </w:rPr>
        <w:t xml:space="preserve">3.3 Evidence to date</w:t>
      </w:r>
    </w:p>
    <w:tbl>
      <w:tblPr>
        <w:tblW w:type="dxa" w:w="9638"/>
        <w:tblBorders>
          <w:top w:val="single" w:color="CBD5E1" w:sz="4"/>
          <w:left w:val="none" w:sz="0"/>
          <w:bottom w:val="single" w:color="CBD5E1" w:sz="4"/>
          <w:right w:val="none" w:sz="0"/>
          <w:insideH w:val="single" w:color="E2E8F0" w:sz="4"/>
          <w:insideV w:val="none" w:sz="0"/>
        </w:tblBorders>
      </w:tblPr>
      <w:tblGrid>
        <w:gridCol w:w="3559"/>
        <w:gridCol w:w="6079"/>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Source</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Finding</w:t>
            </w:r>
          </w:p>
        </w:tc>
      </w:tr>
      <w:tr>
        <w:trPr>
          <w:tblHeader w:val="false"/>
        </w:trPr>
        <w:tc>
          <w:tcPr>
            <w:tcW w:type="dxa" w:w="0"/>
            <w:tcMar>
              <w:top w:type="dxa" w:w="60"/>
              <w:left w:type="dxa" w:w="90"/>
              <w:bottom w:type="dxa" w:w="60"/>
              <w:right w:type="dxa" w:w="90"/>
            </w:tcMar>
          </w:tcPr>
          <w:p>
            <w:pPr>
              <w:spacing w:after="0"/>
            </w:pPr>
            <w:r>
              <w:rPr>
                <w:sz w:val="19"/>
                <w:szCs w:val="19"/>
              </w:rPr>
              <w:t xml:space="preserve">Simulation (PaySim, 15 institutions, non-IID)</w:t>
            </w:r>
          </w:p>
        </w:tc>
        <w:tc>
          <w:tcPr>
            <w:tcW w:type="dxa" w:w="0"/>
            <w:tcMar>
              <w:top w:type="dxa" w:w="60"/>
              <w:left w:type="dxa" w:w="90"/>
              <w:bottom w:type="dxa" w:w="60"/>
              <w:right w:type="dxa" w:w="90"/>
            </w:tcMar>
          </w:tcPr>
          <w:p>
            <w:pPr>
              <w:spacing w:after="0"/>
            </w:pPr>
            <w:r>
              <w:rPr>
                <w:sz w:val="19"/>
                <w:szCs w:val="19"/>
              </w:rPr>
              <w:t xml:space="preserve">Federated AUPRC 0.945 vs. 0.643 local-only (+47%); recall 0.99; 5 zero-history institutions gained detection capability; DP at ε = 5 retains AUPRC 0.69.</w:t>
            </w:r>
          </w:p>
        </w:tc>
      </w:tr>
      <w:tr>
        <w:trPr>
          <w:tblHeader w:val="false"/>
        </w:trPr>
        <w:tc>
          <w:tcPr>
            <w:tcW w:type="dxa" w:w="0"/>
            <w:tcMar>
              <w:top w:type="dxa" w:w="60"/>
              <w:left w:type="dxa" w:w="90"/>
              <w:bottom w:type="dxa" w:w="60"/>
              <w:right w:type="dxa" w:w="90"/>
            </w:tcMar>
          </w:tcPr>
          <w:p>
            <w:pPr>
              <w:spacing w:after="0"/>
            </w:pPr>
            <w:r>
              <w:rPr>
                <w:sz w:val="19"/>
                <w:szCs w:val="19"/>
              </w:rPr>
              <w:t xml:space="preserve">Stage 0 real-data validation</w:t>
            </w:r>
          </w:p>
        </w:tc>
        <w:tc>
          <w:tcPr>
            <w:tcW w:type="dxa" w:w="0"/>
            <w:tcMar>
              <w:top w:type="dxa" w:w="60"/>
              <w:left w:type="dxa" w:w="90"/>
              <w:bottom w:type="dxa" w:w="60"/>
              <w:right w:type="dxa" w:w="90"/>
            </w:tcMar>
          </w:tcPr>
          <w:p>
            <w:pPr>
              <w:spacing w:after="0"/>
            </w:pPr>
            <w:r>
              <w:rPr>
                <w:rFonts w:ascii="Consolas" w:cs="Consolas" w:eastAsia="Consolas" w:hAnsi="Consolas"/>
                <w:sz w:val="19"/>
                <w:szCs w:val="19"/>
                <w:shd w:fill="F1F5F9" w:val="clear"/>
              </w:rPr>
              <w:t xml:space="preserve">[Stage 0 result: N institutions, M months of records; % of institution-confirmed fraud cases flagged; false-positive rate at chosen threshold; schema-mapping success on X software systems]</w:t>
            </w:r>
          </w:p>
        </w:tc>
      </w:tr>
      <w:tr>
        <w:trPr>
          <w:tblHeader w:val="false"/>
        </w:trPr>
        <w:tc>
          <w:tcPr>
            <w:tcW w:type="dxa" w:w="0"/>
            <w:tcMar>
              <w:top w:type="dxa" w:w="60"/>
              <w:left w:type="dxa" w:w="90"/>
              <w:bottom w:type="dxa" w:w="60"/>
              <w:right w:type="dxa" w:w="90"/>
            </w:tcMar>
          </w:tcPr>
          <w:p>
            <w:pPr>
              <w:spacing w:after="0"/>
            </w:pPr>
            <w:r>
              <w:rPr>
                <w:sz w:val="19"/>
                <w:szCs w:val="19"/>
              </w:rPr>
              <w:t xml:space="preserve">Stage 0 federated PoC</w:t>
            </w:r>
          </w:p>
        </w:tc>
        <w:tc>
          <w:tcPr>
            <w:tcW w:type="dxa" w:w="0"/>
            <w:tcMar>
              <w:top w:type="dxa" w:w="60"/>
              <w:left w:type="dxa" w:w="90"/>
              <w:bottom w:type="dxa" w:w="60"/>
              <w:right w:type="dxa" w:w="90"/>
            </w:tcMar>
          </w:tcPr>
          <w:p>
            <w:pPr>
              <w:spacing w:after="0"/>
            </w:pPr>
            <w:r>
              <w:rPr>
                <w:rFonts w:ascii="Consolas" w:cs="Consolas" w:eastAsia="Consolas" w:hAnsi="Consolas"/>
                <w:sz w:val="19"/>
                <w:szCs w:val="19"/>
                <w:shd w:fill="F1F5F9" w:val="clear"/>
              </w:rPr>
              <w:t xml:space="preserve">[Stage 0 result: rounds completed, bandwidth, model performance vs local-only on real data]</w:t>
            </w:r>
          </w:p>
        </w:tc>
      </w:tr>
      <w:tr>
        <w:trPr>
          <w:tblHeader w:val="false"/>
        </w:trPr>
        <w:tc>
          <w:tcPr>
            <w:tcW w:type="dxa" w:w="0"/>
            <w:tcMar>
              <w:top w:type="dxa" w:w="60"/>
              <w:left w:type="dxa" w:w="90"/>
              <w:bottom w:type="dxa" w:w="60"/>
              <w:right w:type="dxa" w:w="90"/>
            </w:tcMar>
          </w:tcPr>
          <w:p>
            <w:pPr>
              <w:spacing w:after="0"/>
            </w:pPr>
            <w:r>
              <w:rPr>
                <w:sz w:val="19"/>
                <w:szCs w:val="19"/>
              </w:rPr>
              <w:t xml:space="preserve">Stage 0 baselines</w:t>
            </w:r>
          </w:p>
        </w:tc>
        <w:tc>
          <w:tcPr>
            <w:tcW w:type="dxa" w:w="0"/>
            <w:tcMar>
              <w:top w:type="dxa" w:w="60"/>
              <w:left w:type="dxa" w:w="90"/>
              <w:bottom w:type="dxa" w:w="60"/>
              <w:right w:type="dxa" w:w="90"/>
            </w:tcMar>
          </w:tcPr>
          <w:p>
            <w:pPr>
              <w:spacing w:after="0"/>
            </w:pPr>
            <w:r>
              <w:rPr>
                <w:rFonts w:ascii="Consolas" w:cs="Consolas" w:eastAsia="Consolas" w:hAnsi="Consolas"/>
                <w:sz w:val="19"/>
                <w:szCs w:val="19"/>
                <w:shd w:fill="F1F5F9" w:val="clear"/>
              </w:rPr>
              <w:t xml:space="preserve">[Stage 0 result: median fraud-loss rate, PAR30/90, audit detection rate, cost of investigation per case]</w:t>
            </w:r>
          </w:p>
        </w:tc>
      </w:tr>
    </w:tbl>
    <w:p>
      <w:pPr>
        <w:spacing w:after="120"/>
      </w:pPr>
    </w:p>
    <w:p>
      <w:pPr>
        <w:pBdr>
          <w:bottom w:val="single" w:color="CBD5E1" w:sz="6" w:space="1"/>
        </w:pBdr>
        <w:spacing w:after="160"/>
      </w:pPr>
    </w:p>
    <w:p>
      <w:pPr>
        <w:pStyle w:val="Heading1"/>
        <w:spacing w:after="140" w:before="320"/>
      </w:pPr>
      <w:r>
        <w:rPr>
          <w:b/>
          <w:bCs/>
          <w:color w:val="0F766E"/>
          <w:sz w:val="28"/>
          <w:szCs w:val="28"/>
        </w:rPr>
        <w:t xml:space="preserve">4. Pilot objectives and learning questions</w:t>
      </w:r>
    </w:p>
    <w:p>
      <w:pPr>
        <w:spacing w:after="120"/>
      </w:pPr>
      <w:r>
        <w:rPr>
          <w:b/>
          <w:bCs/>
        </w:rPr>
        <w:t xml:space="preserve">Primary objective:</w:t>
      </w:r>
      <w:r>
        <w:t xml:space="preserve"> determine whether FedFraudShield reduces fraud losses and improves portfolio quality in real SACCOs at a cost that makes sector-wide adoption viable.</w:t>
      </w:r>
    </w:p>
    <w:tbl>
      <w:tblPr>
        <w:tblW w:type="dxa" w:w="9638"/>
        <w:tblBorders>
          <w:top w:val="single" w:color="CBD5E1" w:sz="4"/>
          <w:left w:val="none" w:sz="0"/>
          <w:bottom w:val="single" w:color="CBD5E1" w:sz="4"/>
          <w:right w:val="none" w:sz="0"/>
          <w:insideH w:val="single" w:color="E2E8F0" w:sz="4"/>
          <w:insideV w:val="none" w:sz="0"/>
        </w:tblBorders>
      </w:tblPr>
      <w:tblGrid>
        <w:gridCol w:w="710"/>
        <w:gridCol w:w="4530"/>
        <w:gridCol w:w="4398"/>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Learning question</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Answered by</w:t>
            </w:r>
          </w:p>
        </w:tc>
      </w:tr>
      <w:tr>
        <w:trPr>
          <w:tblHeader w:val="false"/>
        </w:trPr>
        <w:tc>
          <w:tcPr>
            <w:tcW w:type="dxa" w:w="0"/>
            <w:tcMar>
              <w:top w:type="dxa" w:w="60"/>
              <w:left w:type="dxa" w:w="90"/>
              <w:bottom w:type="dxa" w:w="60"/>
              <w:right w:type="dxa" w:w="90"/>
            </w:tcMar>
          </w:tcPr>
          <w:p>
            <w:pPr>
              <w:spacing w:after="0"/>
            </w:pPr>
            <w:r>
              <w:rPr>
                <w:sz w:val="19"/>
                <w:szCs w:val="19"/>
              </w:rPr>
              <w:t xml:space="preserve">Q1</w:t>
            </w:r>
          </w:p>
        </w:tc>
        <w:tc>
          <w:tcPr>
            <w:tcW w:type="dxa" w:w="0"/>
            <w:tcMar>
              <w:top w:type="dxa" w:w="60"/>
              <w:left w:type="dxa" w:w="90"/>
              <w:bottom w:type="dxa" w:w="60"/>
              <w:right w:type="dxa" w:w="90"/>
            </w:tcMar>
          </w:tcPr>
          <w:p>
            <w:pPr>
              <w:spacing w:after="0"/>
            </w:pPr>
            <w:r>
              <w:rPr>
                <w:sz w:val="19"/>
                <w:szCs w:val="19"/>
              </w:rPr>
              <w:t xml:space="preserve">Does the tool detect real fraud that institutions' existing controls miss, and at what precision?</w:t>
            </w:r>
          </w:p>
        </w:tc>
        <w:tc>
          <w:tcPr>
            <w:tcW w:type="dxa" w:w="0"/>
            <w:tcMar>
              <w:top w:type="dxa" w:w="60"/>
              <w:left w:type="dxa" w:w="90"/>
              <w:bottom w:type="dxa" w:w="60"/>
              <w:right w:type="dxa" w:w="90"/>
            </w:tcMar>
          </w:tcPr>
          <w:p>
            <w:pPr>
              <w:spacing w:after="0"/>
            </w:pPr>
            <w:r>
              <w:rPr>
                <w:sz w:val="19"/>
                <w:szCs w:val="19"/>
              </w:rPr>
              <w:t xml:space="preserve">Alert-level validation; comparison with audit findings</w:t>
            </w:r>
          </w:p>
        </w:tc>
      </w:tr>
      <w:tr>
        <w:trPr>
          <w:tblHeader w:val="false"/>
        </w:trPr>
        <w:tc>
          <w:tcPr>
            <w:tcW w:type="dxa" w:w="0"/>
            <w:tcMar>
              <w:top w:type="dxa" w:w="60"/>
              <w:left w:type="dxa" w:w="90"/>
              <w:bottom w:type="dxa" w:w="60"/>
              <w:right w:type="dxa" w:w="90"/>
            </w:tcMar>
          </w:tcPr>
          <w:p>
            <w:pPr>
              <w:spacing w:after="0"/>
            </w:pPr>
            <w:r>
              <w:rPr>
                <w:sz w:val="19"/>
                <w:szCs w:val="19"/>
              </w:rPr>
              <w:t xml:space="preserve">Q2</w:t>
            </w:r>
          </w:p>
        </w:tc>
        <w:tc>
          <w:tcPr>
            <w:tcW w:type="dxa" w:w="0"/>
            <w:tcMar>
              <w:top w:type="dxa" w:w="60"/>
              <w:left w:type="dxa" w:w="90"/>
              <w:bottom w:type="dxa" w:w="60"/>
              <w:right w:type="dxa" w:w="90"/>
            </w:tcMar>
          </w:tcPr>
          <w:p>
            <w:pPr>
              <w:spacing w:after="0"/>
            </w:pPr>
            <w:r>
              <w:rPr>
                <w:sz w:val="19"/>
                <w:szCs w:val="19"/>
              </w:rPr>
              <w:t xml:space="preserve">Do institutions act on alerts? What share are investigated, confirmed, and resolved?</w:t>
            </w:r>
          </w:p>
        </w:tc>
        <w:tc>
          <w:tcPr>
            <w:tcW w:type="dxa" w:w="0"/>
            <w:tcMar>
              <w:top w:type="dxa" w:w="60"/>
              <w:left w:type="dxa" w:w="90"/>
              <w:bottom w:type="dxa" w:w="60"/>
              <w:right w:type="dxa" w:w="90"/>
            </w:tcMar>
          </w:tcPr>
          <w:p>
            <w:pPr>
              <w:spacing w:after="0"/>
            </w:pPr>
            <w:r>
              <w:rPr>
                <w:sz w:val="19"/>
                <w:szCs w:val="19"/>
              </w:rPr>
              <w:t xml:space="preserve">Case-tracking data; process evaluation</w:t>
            </w:r>
          </w:p>
        </w:tc>
      </w:tr>
      <w:tr>
        <w:trPr>
          <w:tblHeader w:val="false"/>
        </w:trPr>
        <w:tc>
          <w:tcPr>
            <w:tcW w:type="dxa" w:w="0"/>
            <w:tcMar>
              <w:top w:type="dxa" w:w="60"/>
              <w:left w:type="dxa" w:w="90"/>
              <w:bottom w:type="dxa" w:w="60"/>
              <w:right w:type="dxa" w:w="90"/>
            </w:tcMar>
          </w:tcPr>
          <w:p>
            <w:pPr>
              <w:spacing w:after="0"/>
            </w:pPr>
            <w:r>
              <w:rPr>
                <w:sz w:val="19"/>
                <w:szCs w:val="19"/>
              </w:rPr>
              <w:t xml:space="preserve">Q3</w:t>
            </w:r>
          </w:p>
        </w:tc>
        <w:tc>
          <w:tcPr>
            <w:tcW w:type="dxa" w:w="0"/>
            <w:tcMar>
              <w:top w:type="dxa" w:w="60"/>
              <w:left w:type="dxa" w:w="90"/>
              <w:bottom w:type="dxa" w:w="60"/>
              <w:right w:type="dxa" w:w="90"/>
            </w:tcMar>
          </w:tcPr>
          <w:p>
            <w:pPr>
              <w:spacing w:after="0"/>
            </w:pPr>
            <w:r>
              <w:rPr>
                <w:sz w:val="19"/>
                <w:szCs w:val="19"/>
              </w:rPr>
              <w:t xml:space="preserve">What is the effect on fraud losses, PAR30/PAR90 and write-offs after 12 months?</w:t>
            </w:r>
          </w:p>
        </w:tc>
        <w:tc>
          <w:tcPr>
            <w:tcW w:type="dxa" w:w="0"/>
            <w:tcMar>
              <w:top w:type="dxa" w:w="60"/>
              <w:left w:type="dxa" w:w="90"/>
              <w:bottom w:type="dxa" w:w="60"/>
              <w:right w:type="dxa" w:w="90"/>
            </w:tcMar>
          </w:tcPr>
          <w:p>
            <w:pPr>
              <w:spacing w:after="0"/>
            </w:pPr>
            <w:r>
              <w:rPr>
                <w:sz w:val="19"/>
                <w:szCs w:val="19"/>
              </w:rPr>
              <w:t xml:space="preserve">Phased-roll-out comparison (§6)</w:t>
            </w:r>
          </w:p>
        </w:tc>
      </w:tr>
      <w:tr>
        <w:trPr>
          <w:tblHeader w:val="false"/>
        </w:trPr>
        <w:tc>
          <w:tcPr>
            <w:tcW w:type="dxa" w:w="0"/>
            <w:tcMar>
              <w:top w:type="dxa" w:w="60"/>
              <w:left w:type="dxa" w:w="90"/>
              <w:bottom w:type="dxa" w:w="60"/>
              <w:right w:type="dxa" w:w="90"/>
            </w:tcMar>
          </w:tcPr>
          <w:p>
            <w:pPr>
              <w:spacing w:after="0"/>
            </w:pPr>
            <w:r>
              <w:rPr>
                <w:sz w:val="19"/>
                <w:szCs w:val="19"/>
              </w:rPr>
              <w:t xml:space="preserve">Q4</w:t>
            </w:r>
          </w:p>
        </w:tc>
        <w:tc>
          <w:tcPr>
            <w:tcW w:type="dxa" w:w="0"/>
            <w:tcMar>
              <w:top w:type="dxa" w:w="60"/>
              <w:left w:type="dxa" w:w="90"/>
              <w:bottom w:type="dxa" w:w="60"/>
              <w:right w:type="dxa" w:w="90"/>
            </w:tcMar>
          </w:tcPr>
          <w:p>
            <w:pPr>
              <w:spacing w:after="0"/>
            </w:pPr>
            <w:r>
              <w:rPr>
                <w:sz w:val="19"/>
                <w:szCs w:val="19"/>
              </w:rPr>
              <w:t xml:space="preserve">Does federation (Layer 2) add measurable value over the rule-based tool alone (Layer 1)?</w:t>
            </w:r>
          </w:p>
        </w:tc>
        <w:tc>
          <w:tcPr>
            <w:tcW w:type="dxa" w:w="0"/>
            <w:tcMar>
              <w:top w:type="dxa" w:w="60"/>
              <w:left w:type="dxa" w:w="90"/>
              <w:bottom w:type="dxa" w:w="60"/>
              <w:right w:type="dxa" w:w="90"/>
            </w:tcMar>
          </w:tcPr>
          <w:p>
            <w:pPr>
              <w:spacing w:after="0"/>
            </w:pPr>
            <w:r>
              <w:rPr>
                <w:sz w:val="19"/>
                <w:szCs w:val="19"/>
              </w:rPr>
              <w:t xml:space="preserve">Two-arm treatment contrast</w:t>
            </w:r>
          </w:p>
        </w:tc>
      </w:tr>
      <w:tr>
        <w:trPr>
          <w:tblHeader w:val="false"/>
        </w:trPr>
        <w:tc>
          <w:tcPr>
            <w:tcW w:type="dxa" w:w="0"/>
            <w:tcMar>
              <w:top w:type="dxa" w:w="60"/>
              <w:left w:type="dxa" w:w="90"/>
              <w:bottom w:type="dxa" w:w="60"/>
              <w:right w:type="dxa" w:w="90"/>
            </w:tcMar>
          </w:tcPr>
          <w:p>
            <w:pPr>
              <w:spacing w:after="0"/>
            </w:pPr>
            <w:r>
              <w:rPr>
                <w:sz w:val="19"/>
                <w:szCs w:val="19"/>
              </w:rPr>
              <w:t xml:space="preserve">Q5</w:t>
            </w:r>
          </w:p>
        </w:tc>
        <w:tc>
          <w:tcPr>
            <w:tcW w:type="dxa" w:w="0"/>
            <w:tcMar>
              <w:top w:type="dxa" w:w="60"/>
              <w:left w:type="dxa" w:w="90"/>
              <w:bottom w:type="dxa" w:w="60"/>
              <w:right w:type="dxa" w:w="90"/>
            </w:tcMar>
          </w:tcPr>
          <w:p>
            <w:pPr>
              <w:spacing w:after="0"/>
            </w:pPr>
            <w:r>
              <w:rPr>
                <w:sz w:val="19"/>
                <w:szCs w:val="19"/>
              </w:rPr>
              <w:t xml:space="preserve">What does it cost per institution, per confirmed case, and per UGX of loss averted?</w:t>
            </w:r>
          </w:p>
        </w:tc>
        <w:tc>
          <w:tcPr>
            <w:tcW w:type="dxa" w:w="0"/>
            <w:tcMar>
              <w:top w:type="dxa" w:w="60"/>
              <w:left w:type="dxa" w:w="90"/>
              <w:bottom w:type="dxa" w:w="60"/>
              <w:right w:type="dxa" w:w="90"/>
            </w:tcMar>
          </w:tcPr>
          <w:p>
            <w:pPr>
              <w:spacing w:after="0"/>
            </w:pPr>
            <w:r>
              <w:rPr>
                <w:sz w:val="19"/>
                <w:szCs w:val="19"/>
              </w:rPr>
              <w:t xml:space="preserve">Cost tracking; cost-effectiveness analysis</w:t>
            </w:r>
          </w:p>
        </w:tc>
      </w:tr>
      <w:tr>
        <w:trPr>
          <w:tblHeader w:val="false"/>
        </w:trPr>
        <w:tc>
          <w:tcPr>
            <w:tcW w:type="dxa" w:w="0"/>
            <w:tcMar>
              <w:top w:type="dxa" w:w="60"/>
              <w:left w:type="dxa" w:w="90"/>
              <w:bottom w:type="dxa" w:w="60"/>
              <w:right w:type="dxa" w:w="90"/>
            </w:tcMar>
          </w:tcPr>
          <w:p>
            <w:pPr>
              <w:spacing w:after="0"/>
            </w:pPr>
            <w:r>
              <w:rPr>
                <w:sz w:val="19"/>
                <w:szCs w:val="19"/>
              </w:rPr>
              <w:t xml:space="preserve">Q6</w:t>
            </w:r>
          </w:p>
        </w:tc>
        <w:tc>
          <w:tcPr>
            <w:tcW w:type="dxa" w:w="0"/>
            <w:tcMar>
              <w:top w:type="dxa" w:w="60"/>
              <w:left w:type="dxa" w:w="90"/>
              <w:bottom w:type="dxa" w:w="60"/>
              <w:right w:type="dxa" w:w="90"/>
            </w:tcMar>
          </w:tcPr>
          <w:p>
            <w:pPr>
              <w:spacing w:after="0"/>
            </w:pPr>
            <w:r>
              <w:rPr>
                <w:sz w:val="19"/>
                <w:szCs w:val="19"/>
              </w:rPr>
              <w:t xml:space="preserve">Is there a deterrence effect visible in staff behaviour (after-hours entries, concentration) even before cases are proven?</w:t>
            </w:r>
          </w:p>
        </w:tc>
        <w:tc>
          <w:tcPr>
            <w:tcW w:type="dxa" w:w="0"/>
            <w:tcMar>
              <w:top w:type="dxa" w:w="60"/>
              <w:left w:type="dxa" w:w="90"/>
              <w:bottom w:type="dxa" w:w="60"/>
              <w:right w:type="dxa" w:w="90"/>
            </w:tcMar>
          </w:tcPr>
          <w:p>
            <w:pPr>
              <w:spacing w:after="0"/>
            </w:pPr>
            <w:r>
              <w:rPr>
                <w:sz w:val="19"/>
                <w:szCs w:val="19"/>
              </w:rPr>
              <w:t xml:space="preserve">Behavioural indicators from transaction data</w:t>
            </w:r>
          </w:p>
        </w:tc>
      </w:tr>
      <w:tr>
        <w:trPr>
          <w:tblHeader w:val="false"/>
        </w:trPr>
        <w:tc>
          <w:tcPr>
            <w:tcW w:type="dxa" w:w="0"/>
            <w:tcMar>
              <w:top w:type="dxa" w:w="60"/>
              <w:left w:type="dxa" w:w="90"/>
              <w:bottom w:type="dxa" w:w="60"/>
              <w:right w:type="dxa" w:w="90"/>
            </w:tcMar>
          </w:tcPr>
          <w:p>
            <w:pPr>
              <w:spacing w:after="0"/>
            </w:pPr>
            <w:r>
              <w:rPr>
                <w:sz w:val="19"/>
                <w:szCs w:val="19"/>
              </w:rPr>
              <w:t xml:space="preserve">Q7</w:t>
            </w:r>
          </w:p>
        </w:tc>
        <w:tc>
          <w:tcPr>
            <w:tcW w:type="dxa" w:w="0"/>
            <w:tcMar>
              <w:top w:type="dxa" w:w="60"/>
              <w:left w:type="dxa" w:w="90"/>
              <w:bottom w:type="dxa" w:w="60"/>
              <w:right w:type="dxa" w:w="90"/>
            </w:tcMar>
          </w:tcPr>
          <w:p>
            <w:pPr>
              <w:spacing w:after="0"/>
            </w:pPr>
            <w:r>
              <w:rPr>
                <w:sz w:val="19"/>
                <w:szCs w:val="19"/>
              </w:rPr>
              <w:t xml:space="preserve">Are women members and women-led institutions differentially protected?</w:t>
            </w:r>
          </w:p>
        </w:tc>
        <w:tc>
          <w:tcPr>
            <w:tcW w:type="dxa" w:w="0"/>
            <w:tcMar>
              <w:top w:type="dxa" w:w="60"/>
              <w:left w:type="dxa" w:w="90"/>
              <w:bottom w:type="dxa" w:w="60"/>
              <w:right w:type="dxa" w:w="90"/>
            </w:tcMar>
          </w:tcPr>
          <w:p>
            <w:pPr>
              <w:spacing w:after="0"/>
            </w:pPr>
            <w:r>
              <w:rPr>
                <w:sz w:val="19"/>
                <w:szCs w:val="19"/>
              </w:rPr>
              <w:t xml:space="preserve">Gender-disaggregated outcomes</w:t>
            </w:r>
          </w:p>
        </w:tc>
      </w:tr>
      <w:tr>
        <w:trPr>
          <w:tblHeader w:val="false"/>
        </w:trPr>
        <w:tc>
          <w:tcPr>
            <w:tcW w:type="dxa" w:w="0"/>
            <w:tcMar>
              <w:top w:type="dxa" w:w="60"/>
              <w:left w:type="dxa" w:w="90"/>
              <w:bottom w:type="dxa" w:w="60"/>
              <w:right w:type="dxa" w:w="90"/>
            </w:tcMar>
          </w:tcPr>
          <w:p>
            <w:pPr>
              <w:spacing w:after="0"/>
            </w:pPr>
            <w:r>
              <w:rPr>
                <w:sz w:val="19"/>
                <w:szCs w:val="19"/>
              </w:rPr>
              <w:t xml:space="preserve">Q8</w:t>
            </w:r>
          </w:p>
        </w:tc>
        <w:tc>
          <w:tcPr>
            <w:tcW w:type="dxa" w:w="0"/>
            <w:tcMar>
              <w:top w:type="dxa" w:w="60"/>
              <w:left w:type="dxa" w:w="90"/>
              <w:bottom w:type="dxa" w:w="60"/>
              <w:right w:type="dxa" w:w="90"/>
            </w:tcMar>
          </w:tcPr>
          <w:p>
            <w:pPr>
              <w:spacing w:after="0"/>
            </w:pPr>
            <w:r>
              <w:rPr>
                <w:sz w:val="19"/>
                <w:szCs w:val="19"/>
              </w:rPr>
              <w:t xml:space="preserve">What is needed for UMRA/UCSCU to operate the federation hub as sector infrastructure?</w:t>
            </w:r>
          </w:p>
        </w:tc>
        <w:tc>
          <w:tcPr>
            <w:tcW w:type="dxa" w:w="0"/>
            <w:tcMar>
              <w:top w:type="dxa" w:w="60"/>
              <w:left w:type="dxa" w:w="90"/>
              <w:bottom w:type="dxa" w:w="60"/>
              <w:right w:type="dxa" w:w="90"/>
            </w:tcMar>
          </w:tcPr>
          <w:p>
            <w:pPr>
              <w:spacing w:after="0"/>
            </w:pPr>
            <w:r>
              <w:rPr>
                <w:sz w:val="19"/>
                <w:szCs w:val="19"/>
              </w:rPr>
              <w:t xml:space="preserve">Governance workstream; stakeholder interviews</w:t>
            </w:r>
          </w:p>
        </w:tc>
      </w:tr>
    </w:tbl>
    <w:p>
      <w:pPr>
        <w:spacing w:after="120"/>
      </w:pPr>
    </w:p>
    <w:p>
      <w:pPr>
        <w:pBdr>
          <w:bottom w:val="single" w:color="CBD5E1" w:sz="6" w:space="1"/>
        </w:pBdr>
        <w:spacing w:after="160"/>
      </w:pPr>
    </w:p>
    <w:p>
      <w:pPr>
        <w:pStyle w:val="Heading1"/>
        <w:spacing w:after="140" w:before="320"/>
      </w:pPr>
      <w:r>
        <w:rPr>
          <w:b/>
          <w:bCs/>
          <w:color w:val="0F766E"/>
          <w:sz w:val="28"/>
          <w:szCs w:val="28"/>
        </w:rPr>
        <w:t xml:space="preserve">5. Pilot sites and sample</w:t>
      </w:r>
    </w:p>
    <w:tbl>
      <w:tblPr>
        <w:tblW w:type="dxa" w:w="9638"/>
        <w:tblBorders>
          <w:top w:val="single" w:color="CBD5E1" w:sz="4"/>
          <w:left w:val="none" w:sz="0"/>
          <w:bottom w:val="single" w:color="CBD5E1" w:sz="4"/>
          <w:right w:val="none" w:sz="0"/>
          <w:insideH w:val="single" w:color="E2E8F0" w:sz="4"/>
          <w:insideV w:val="none" w:sz="0"/>
        </w:tblBorders>
      </w:tblPr>
      <w:tblGrid>
        <w:gridCol w:w="2726"/>
        <w:gridCol w:w="6912"/>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Parameter</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Design</w:t>
            </w:r>
          </w:p>
        </w:tc>
      </w:tr>
      <w:tr>
        <w:trPr>
          <w:tblHeader w:val="false"/>
        </w:trPr>
        <w:tc>
          <w:tcPr>
            <w:tcW w:type="dxa" w:w="0"/>
            <w:tcMar>
              <w:top w:type="dxa" w:w="60"/>
              <w:left w:type="dxa" w:w="90"/>
              <w:bottom w:type="dxa" w:w="60"/>
              <w:right w:type="dxa" w:w="90"/>
            </w:tcMar>
          </w:tcPr>
          <w:p>
            <w:pPr>
              <w:spacing w:after="0"/>
            </w:pPr>
            <w:r>
              <w:rPr>
                <w:sz w:val="19"/>
                <w:szCs w:val="19"/>
              </w:rPr>
              <w:t xml:space="preserve">Number of institutions</w:t>
            </w:r>
          </w:p>
        </w:tc>
        <w:tc>
          <w:tcPr>
            <w:tcW w:type="dxa" w:w="0"/>
            <w:tcMar>
              <w:top w:type="dxa" w:w="60"/>
              <w:left w:type="dxa" w:w="90"/>
              <w:bottom w:type="dxa" w:w="60"/>
              <w:right w:type="dxa" w:w="90"/>
            </w:tcMar>
          </w:tcPr>
          <w:p>
            <w:pPr>
              <w:spacing w:after="0"/>
            </w:pPr>
            <w:r>
              <w:rPr>
                <w:b/>
                <w:bCs/>
                <w:sz w:val="19"/>
                <w:szCs w:val="19"/>
              </w:rPr>
              <w:t xml:space="preserve">48</w:t>
            </w:r>
            <w:r>
              <w:rPr>
                <w:sz w:val="19"/>
                <w:szCs w:val="19"/>
              </w:rPr>
              <w:t xml:space="preserve"> (40 SACCOs, 8 MFIs) </w:t>
            </w:r>
            <w:r>
              <w:rPr>
                <w:rFonts w:ascii="Consolas" w:cs="Consolas" w:eastAsia="Consolas" w:hAnsi="Consolas"/>
                <w:sz w:val="19"/>
                <w:szCs w:val="19"/>
                <w:shd w:fill="F1F5F9" w:val="clear"/>
              </w:rPr>
              <w:t xml:space="preserve">[TBC after Stage 0 power calculation]</w:t>
            </w:r>
          </w:p>
        </w:tc>
      </w:tr>
      <w:tr>
        <w:trPr>
          <w:tblHeader w:val="false"/>
        </w:trPr>
        <w:tc>
          <w:tcPr>
            <w:tcW w:type="dxa" w:w="0"/>
            <w:tcMar>
              <w:top w:type="dxa" w:w="60"/>
              <w:left w:type="dxa" w:w="90"/>
              <w:bottom w:type="dxa" w:w="60"/>
              <w:right w:type="dxa" w:w="90"/>
            </w:tcMar>
          </w:tcPr>
          <w:p>
            <w:pPr>
              <w:spacing w:after="0"/>
            </w:pPr>
            <w:r>
              <w:rPr>
                <w:sz w:val="19"/>
                <w:szCs w:val="19"/>
              </w:rPr>
              <w:t xml:space="preserve">Regions</w:t>
            </w:r>
          </w:p>
        </w:tc>
        <w:tc>
          <w:tcPr>
            <w:tcW w:type="dxa" w:w="0"/>
            <w:tcMar>
              <w:top w:type="dxa" w:w="60"/>
              <w:left w:type="dxa" w:w="90"/>
              <w:bottom w:type="dxa" w:w="60"/>
              <w:right w:type="dxa" w:w="90"/>
            </w:tcMar>
          </w:tcPr>
          <w:p>
            <w:pPr>
              <w:spacing w:after="0"/>
            </w:pPr>
            <w:r>
              <w:rPr>
                <w:sz w:val="19"/>
                <w:szCs w:val="19"/>
              </w:rPr>
              <w:t xml:space="preserve">Central (Kampala/Mukono/Wakiso), Eastern (Jinja/Mbale), Western (Mbarara), Northern (Gulu) — 12 per region</w:t>
            </w:r>
          </w:p>
        </w:tc>
      </w:tr>
      <w:tr>
        <w:trPr>
          <w:tblHeader w:val="false"/>
        </w:trPr>
        <w:tc>
          <w:tcPr>
            <w:tcW w:type="dxa" w:w="0"/>
            <w:tcMar>
              <w:top w:type="dxa" w:w="60"/>
              <w:left w:type="dxa" w:w="90"/>
              <w:bottom w:type="dxa" w:w="60"/>
              <w:right w:type="dxa" w:w="90"/>
            </w:tcMar>
          </w:tcPr>
          <w:p>
            <w:pPr>
              <w:spacing w:after="0"/>
            </w:pPr>
            <w:r>
              <w:rPr>
                <w:sz w:val="19"/>
                <w:szCs w:val="19"/>
              </w:rPr>
              <w:t xml:space="preserve">Size range</w:t>
            </w:r>
          </w:p>
        </w:tc>
        <w:tc>
          <w:tcPr>
            <w:tcW w:type="dxa" w:w="0"/>
            <w:tcMar>
              <w:top w:type="dxa" w:w="60"/>
              <w:left w:type="dxa" w:w="90"/>
              <w:bottom w:type="dxa" w:w="60"/>
              <w:right w:type="dxa" w:w="90"/>
            </w:tcMar>
          </w:tcPr>
          <w:p>
            <w:pPr>
              <w:spacing w:after="0"/>
            </w:pPr>
            <w:r>
              <w:rPr>
                <w:sz w:val="19"/>
                <w:szCs w:val="19"/>
              </w:rPr>
              <w:t xml:space="preserve">300–5,000 members; 12+ months of digital records; mix of Ensibuuko, Kanzu Banking, and Excel/QuickBooks users</w:t>
            </w:r>
          </w:p>
        </w:tc>
      </w:tr>
      <w:tr>
        <w:trPr>
          <w:tblHeader w:val="false"/>
        </w:trPr>
        <w:tc>
          <w:tcPr>
            <w:tcW w:type="dxa" w:w="0"/>
            <w:tcMar>
              <w:top w:type="dxa" w:w="60"/>
              <w:left w:type="dxa" w:w="90"/>
              <w:bottom w:type="dxa" w:w="60"/>
              <w:right w:type="dxa" w:w="90"/>
            </w:tcMar>
          </w:tcPr>
          <w:p>
            <w:pPr>
              <w:spacing w:after="0"/>
            </w:pPr>
            <w:r>
              <w:rPr>
                <w:sz w:val="19"/>
                <w:szCs w:val="19"/>
              </w:rPr>
              <w:t xml:space="preserve">Inclusion criteria</w:t>
            </w:r>
          </w:p>
        </w:tc>
        <w:tc>
          <w:tcPr>
            <w:tcW w:type="dxa" w:w="0"/>
            <w:tcMar>
              <w:top w:type="dxa" w:w="60"/>
              <w:left w:type="dxa" w:w="90"/>
              <w:bottom w:type="dxa" w:w="60"/>
              <w:right w:type="dxa" w:w="90"/>
            </w:tcMar>
          </w:tcPr>
          <w:p>
            <w:pPr>
              <w:spacing w:after="0"/>
            </w:pPr>
            <w:r>
              <w:rPr>
                <w:sz w:val="19"/>
                <w:szCs w:val="19"/>
              </w:rPr>
              <w:t xml:space="preserve">UMRA-licensed or UCSCU-affiliated; board consent; a named fraud focal person; exportable loan data</w:t>
            </w:r>
          </w:p>
        </w:tc>
      </w:tr>
      <w:tr>
        <w:trPr>
          <w:tblHeader w:val="false"/>
        </w:trPr>
        <w:tc>
          <w:tcPr>
            <w:tcW w:type="dxa" w:w="0"/>
            <w:tcMar>
              <w:top w:type="dxa" w:w="60"/>
              <w:left w:type="dxa" w:w="90"/>
              <w:bottom w:type="dxa" w:w="60"/>
              <w:right w:type="dxa" w:w="90"/>
            </w:tcMar>
          </w:tcPr>
          <w:p>
            <w:pPr>
              <w:spacing w:after="0"/>
            </w:pPr>
            <w:r>
              <w:rPr>
                <w:sz w:val="19"/>
                <w:szCs w:val="19"/>
              </w:rPr>
              <w:t xml:space="preserve">Exclusion criteria</w:t>
            </w:r>
          </w:p>
        </w:tc>
        <w:tc>
          <w:tcPr>
            <w:tcW w:type="dxa" w:w="0"/>
            <w:tcMar>
              <w:top w:type="dxa" w:w="60"/>
              <w:left w:type="dxa" w:w="90"/>
              <w:bottom w:type="dxa" w:w="60"/>
              <w:right w:type="dxa" w:w="90"/>
            </w:tcMar>
          </w:tcPr>
          <w:p>
            <w:pPr>
              <w:spacing w:after="0"/>
            </w:pPr>
            <w:r>
              <w:rPr>
                <w:sz w:val="19"/>
                <w:szCs w:val="19"/>
              </w:rPr>
              <w:t xml:space="preserve">Institutions under active regulatory sanction or receivership; institutions that participated in Stage 0 (they continue separately as demonstration sites)</w:t>
            </w:r>
          </w:p>
        </w:tc>
      </w:tr>
      <w:tr>
        <w:trPr>
          <w:tblHeader w:val="false"/>
        </w:trPr>
        <w:tc>
          <w:tcPr>
            <w:tcW w:type="dxa" w:w="0"/>
            <w:tcMar>
              <w:top w:type="dxa" w:w="60"/>
              <w:left w:type="dxa" w:w="90"/>
              <w:bottom w:type="dxa" w:w="60"/>
              <w:right w:type="dxa" w:w="90"/>
            </w:tcMar>
          </w:tcPr>
          <w:p>
            <w:pPr>
              <w:spacing w:after="0"/>
            </w:pPr>
            <w:r>
              <w:rPr>
                <w:sz w:val="19"/>
                <w:szCs w:val="19"/>
              </w:rPr>
              <w:t xml:space="preserve">Recruitment</w:t>
            </w:r>
          </w:p>
        </w:tc>
        <w:tc>
          <w:tcPr>
            <w:tcW w:type="dxa" w:w="0"/>
            <w:tcMar>
              <w:top w:type="dxa" w:w="60"/>
              <w:left w:type="dxa" w:w="90"/>
              <w:bottom w:type="dxa" w:w="60"/>
              <w:right w:type="dxa" w:w="90"/>
            </w:tcMar>
          </w:tcPr>
          <w:p>
            <w:pPr>
              <w:spacing w:after="0"/>
            </w:pPr>
            <w:r>
              <w:rPr>
                <w:sz w:val="19"/>
                <w:szCs w:val="19"/>
              </w:rPr>
              <w:t xml:space="preserve">Through UCSCU regional structures and UMRA </w:t>
            </w:r>
            <w:r>
              <w:rPr>
                <w:rFonts w:ascii="Consolas" w:cs="Consolas" w:eastAsia="Consolas" w:hAnsi="Consolas"/>
                <w:sz w:val="19"/>
                <w:szCs w:val="19"/>
                <w:shd w:fill="F1F5F9" w:val="clear"/>
              </w:rPr>
              <w:t xml:space="preserve">[TBC: letters of support]</w:t>
            </w:r>
            <w:r>
              <w:rPr>
                <w:sz w:val="19"/>
                <w:szCs w:val="19"/>
              </w:rPr>
              <w:t xml:space="preserve">; over-recruit 60 to allow for attrition</w:t>
            </w:r>
          </w:p>
        </w:tc>
      </w:tr>
    </w:tbl>
    <w:p>
      <w:pPr>
        <w:spacing w:after="120"/>
      </w:pPr>
    </w:p>
    <w:p>
      <w:pPr>
        <w:pBdr>
          <w:bottom w:val="single" w:color="CBD5E1" w:sz="6" w:space="1"/>
        </w:pBdr>
        <w:spacing w:after="160"/>
      </w:pPr>
    </w:p>
    <w:p>
      <w:pPr>
        <w:pStyle w:val="Heading1"/>
        <w:spacing w:after="140" w:before="320"/>
      </w:pPr>
      <w:r>
        <w:rPr>
          <w:b/>
          <w:bCs/>
          <w:color w:val="0F766E"/>
          <w:sz w:val="28"/>
          <w:szCs w:val="28"/>
        </w:rPr>
        <w:t xml:space="preserve">6. Pilot design (phased roll-out with randomised timing)</w:t>
      </w:r>
    </w:p>
    <w:p>
      <w:pPr>
        <w:spacing w:after="120"/>
      </w:pPr>
      <w:r>
        <w:t xml:space="preserve">A Stage 1 pilot must test the innovation in real conditions; FID also expects a credible learning design that prepares a Stage 2 impact evaluation. We use a </w:t>
      </w:r>
      <w:r>
        <w:rPr>
          <w:b/>
          <w:bCs/>
        </w:rPr>
        <w:t xml:space="preserve">cluster-randomised phased roll-out</w:t>
      </w:r>
      <w:r>
        <w:t xml:space="preserve"> at institution level:</w:t>
      </w:r>
    </w:p>
    <w:tbl>
      <w:tblPr>
        <w:tblW w:type="dxa" w:w="9638"/>
        <w:tblBorders>
          <w:top w:val="single" w:color="CBD5E1" w:sz="4"/>
          <w:left w:val="none" w:sz="0"/>
          <w:bottom w:val="single" w:color="CBD5E1" w:sz="4"/>
          <w:right w:val="none" w:sz="0"/>
          <w:insideH w:val="single" w:color="E2E8F0" w:sz="4"/>
          <w:insideV w:val="none" w:sz="0"/>
        </w:tblBorders>
      </w:tblPr>
      <w:tblGrid>
        <w:gridCol w:w="2076"/>
        <w:gridCol w:w="673"/>
        <w:gridCol w:w="1822"/>
        <w:gridCol w:w="2631"/>
        <w:gridCol w:w="2436"/>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Arm</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n</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Months 1–3</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Months 4–12</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Months 13–15</w:t>
            </w:r>
          </w:p>
        </w:tc>
      </w:tr>
      <w:tr>
        <w:trPr>
          <w:tblHeader w:val="false"/>
        </w:trPr>
        <w:tc>
          <w:tcPr>
            <w:tcW w:type="dxa" w:w="0"/>
            <w:tcMar>
              <w:top w:type="dxa" w:w="60"/>
              <w:left w:type="dxa" w:w="90"/>
              <w:bottom w:type="dxa" w:w="60"/>
              <w:right w:type="dxa" w:w="90"/>
            </w:tcMar>
          </w:tcPr>
          <w:p>
            <w:pPr>
              <w:spacing w:after="0"/>
            </w:pPr>
            <w:r>
              <w:rPr>
                <w:b/>
                <w:bCs/>
                <w:sz w:val="19"/>
                <w:szCs w:val="19"/>
              </w:rPr>
              <w:t xml:space="preserve">A — Early, full</w:t>
            </w:r>
          </w:p>
        </w:tc>
        <w:tc>
          <w:tcPr>
            <w:tcW w:type="dxa" w:w="0"/>
            <w:tcMar>
              <w:top w:type="dxa" w:w="60"/>
              <w:left w:type="dxa" w:w="90"/>
              <w:bottom w:type="dxa" w:w="60"/>
              <w:right w:type="dxa" w:w="90"/>
            </w:tcMar>
          </w:tcPr>
          <w:p>
            <w:pPr>
              <w:spacing w:after="0"/>
            </w:pPr>
            <w:r>
              <w:rPr>
                <w:sz w:val="19"/>
                <w:szCs w:val="19"/>
              </w:rPr>
              <w:t xml:space="preserve">16</w:t>
            </w:r>
          </w:p>
        </w:tc>
        <w:tc>
          <w:tcPr>
            <w:tcW w:type="dxa" w:w="0"/>
            <w:tcMar>
              <w:top w:type="dxa" w:w="60"/>
              <w:left w:type="dxa" w:w="90"/>
              <w:bottom w:type="dxa" w:w="60"/>
              <w:right w:type="dxa" w:w="90"/>
            </w:tcMar>
          </w:tcPr>
          <w:p>
            <w:pPr>
              <w:spacing w:after="0"/>
            </w:pPr>
            <w:r>
              <w:rPr>
                <w:sz w:val="19"/>
                <w:szCs w:val="19"/>
              </w:rPr>
              <w:t xml:space="preserve">Onboarding</w:t>
            </w:r>
          </w:p>
        </w:tc>
        <w:tc>
          <w:tcPr>
            <w:tcW w:type="dxa" w:w="0"/>
            <w:tcMar>
              <w:top w:type="dxa" w:w="60"/>
              <w:left w:type="dxa" w:w="90"/>
              <w:bottom w:type="dxa" w:w="60"/>
              <w:right w:type="dxa" w:w="90"/>
            </w:tcMar>
          </w:tcPr>
          <w:p>
            <w:pPr>
              <w:spacing w:after="0"/>
            </w:pPr>
            <w:r>
              <w:rPr>
                <w:sz w:val="19"/>
                <w:szCs w:val="19"/>
              </w:rPr>
              <w:t xml:space="preserve">FraudShield tool + federation</w:t>
            </w:r>
          </w:p>
        </w:tc>
        <w:tc>
          <w:tcPr>
            <w:tcW w:type="dxa" w:w="0"/>
            <w:tcMar>
              <w:top w:type="dxa" w:w="60"/>
              <w:left w:type="dxa" w:w="90"/>
              <w:bottom w:type="dxa" w:w="60"/>
              <w:right w:type="dxa" w:w="90"/>
            </w:tcMar>
          </w:tcPr>
          <w:p>
            <w:pPr>
              <w:spacing w:after="0"/>
            </w:pPr>
            <w:r>
              <w:rPr>
                <w:sz w:val="19"/>
                <w:szCs w:val="19"/>
              </w:rPr>
              <w:t xml:space="preserve">Continues</w:t>
            </w:r>
          </w:p>
        </w:tc>
      </w:tr>
      <w:tr>
        <w:trPr>
          <w:tblHeader w:val="false"/>
        </w:trPr>
        <w:tc>
          <w:tcPr>
            <w:tcW w:type="dxa" w:w="0"/>
            <w:tcMar>
              <w:top w:type="dxa" w:w="60"/>
              <w:left w:type="dxa" w:w="90"/>
              <w:bottom w:type="dxa" w:w="60"/>
              <w:right w:type="dxa" w:w="90"/>
            </w:tcMar>
          </w:tcPr>
          <w:p>
            <w:pPr>
              <w:spacing w:after="0"/>
            </w:pPr>
            <w:r>
              <w:rPr>
                <w:b/>
                <w:bCs/>
                <w:sz w:val="19"/>
                <w:szCs w:val="19"/>
              </w:rPr>
              <w:t xml:space="preserve">B — Early, rule-based only</w:t>
            </w:r>
          </w:p>
        </w:tc>
        <w:tc>
          <w:tcPr>
            <w:tcW w:type="dxa" w:w="0"/>
            <w:tcMar>
              <w:top w:type="dxa" w:w="60"/>
              <w:left w:type="dxa" w:w="90"/>
              <w:bottom w:type="dxa" w:w="60"/>
              <w:right w:type="dxa" w:w="90"/>
            </w:tcMar>
          </w:tcPr>
          <w:p>
            <w:pPr>
              <w:spacing w:after="0"/>
            </w:pPr>
            <w:r>
              <w:rPr>
                <w:sz w:val="19"/>
                <w:szCs w:val="19"/>
              </w:rPr>
              <w:t xml:space="preserve">16</w:t>
            </w:r>
          </w:p>
        </w:tc>
        <w:tc>
          <w:tcPr>
            <w:tcW w:type="dxa" w:w="0"/>
            <w:tcMar>
              <w:top w:type="dxa" w:w="60"/>
              <w:left w:type="dxa" w:w="90"/>
              <w:bottom w:type="dxa" w:w="60"/>
              <w:right w:type="dxa" w:w="90"/>
            </w:tcMar>
          </w:tcPr>
          <w:p>
            <w:pPr>
              <w:spacing w:after="0"/>
            </w:pPr>
            <w:r>
              <w:rPr>
                <w:sz w:val="19"/>
                <w:szCs w:val="19"/>
              </w:rPr>
              <w:t xml:space="preserve">Onboarding</w:t>
            </w:r>
          </w:p>
        </w:tc>
        <w:tc>
          <w:tcPr>
            <w:tcW w:type="dxa" w:w="0"/>
            <w:tcMar>
              <w:top w:type="dxa" w:w="60"/>
              <w:left w:type="dxa" w:w="90"/>
              <w:bottom w:type="dxa" w:w="60"/>
              <w:right w:type="dxa" w:w="90"/>
            </w:tcMar>
          </w:tcPr>
          <w:p>
            <w:pPr>
              <w:spacing w:after="0"/>
            </w:pPr>
            <w:r>
              <w:rPr>
                <w:sz w:val="19"/>
                <w:szCs w:val="19"/>
              </w:rPr>
              <w:t xml:space="preserve">FraudShield tool only (no federation)</w:t>
            </w:r>
          </w:p>
        </w:tc>
        <w:tc>
          <w:tcPr>
            <w:tcW w:type="dxa" w:w="0"/>
            <w:tcMar>
              <w:top w:type="dxa" w:w="60"/>
              <w:left w:type="dxa" w:w="90"/>
              <w:bottom w:type="dxa" w:w="60"/>
              <w:right w:type="dxa" w:w="90"/>
            </w:tcMar>
          </w:tcPr>
          <w:p>
            <w:pPr>
              <w:spacing w:after="0"/>
            </w:pPr>
            <w:r>
              <w:rPr>
                <w:sz w:val="19"/>
                <w:szCs w:val="19"/>
              </w:rPr>
              <w:t xml:space="preserve">Federation added</w:t>
            </w:r>
          </w:p>
        </w:tc>
      </w:tr>
      <w:tr>
        <w:trPr>
          <w:tblHeader w:val="false"/>
        </w:trPr>
        <w:tc>
          <w:tcPr>
            <w:tcW w:type="dxa" w:w="0"/>
            <w:tcMar>
              <w:top w:type="dxa" w:w="60"/>
              <w:left w:type="dxa" w:w="90"/>
              <w:bottom w:type="dxa" w:w="60"/>
              <w:right w:type="dxa" w:w="90"/>
            </w:tcMar>
          </w:tcPr>
          <w:p>
            <w:pPr>
              <w:spacing w:after="0"/>
            </w:pPr>
            <w:r>
              <w:rPr>
                <w:b/>
                <w:bCs/>
                <w:sz w:val="19"/>
                <w:szCs w:val="19"/>
              </w:rPr>
              <w:t xml:space="preserve">C — Delayed</w:t>
            </w:r>
          </w:p>
        </w:tc>
        <w:tc>
          <w:tcPr>
            <w:tcW w:type="dxa" w:w="0"/>
            <w:tcMar>
              <w:top w:type="dxa" w:w="60"/>
              <w:left w:type="dxa" w:w="90"/>
              <w:bottom w:type="dxa" w:w="60"/>
              <w:right w:type="dxa" w:w="90"/>
            </w:tcMar>
          </w:tcPr>
          <w:p>
            <w:pPr>
              <w:spacing w:after="0"/>
            </w:pPr>
            <w:r>
              <w:rPr>
                <w:sz w:val="19"/>
                <w:szCs w:val="19"/>
              </w:rPr>
              <w:t xml:space="preserve">16</w:t>
            </w:r>
          </w:p>
        </w:tc>
        <w:tc>
          <w:tcPr>
            <w:tcW w:type="dxa" w:w="0"/>
            <w:tcMar>
              <w:top w:type="dxa" w:w="60"/>
              <w:left w:type="dxa" w:w="90"/>
              <w:bottom w:type="dxa" w:w="60"/>
              <w:right w:type="dxa" w:w="90"/>
            </w:tcMar>
          </w:tcPr>
          <w:p>
            <w:pPr>
              <w:spacing w:after="0"/>
            </w:pPr>
            <w:r>
              <w:rPr>
                <w:sz w:val="19"/>
                <w:szCs w:val="19"/>
              </w:rPr>
              <w:t xml:space="preserve">Baseline only</w:t>
            </w:r>
          </w:p>
        </w:tc>
        <w:tc>
          <w:tcPr>
            <w:tcW w:type="dxa" w:w="0"/>
            <w:tcMar>
              <w:top w:type="dxa" w:w="60"/>
              <w:left w:type="dxa" w:w="90"/>
              <w:bottom w:type="dxa" w:w="60"/>
              <w:right w:type="dxa" w:w="90"/>
            </w:tcMar>
          </w:tcPr>
          <w:p>
            <w:pPr>
              <w:spacing w:after="0"/>
            </w:pPr>
            <w:r>
              <w:rPr>
                <w:sz w:val="19"/>
                <w:szCs w:val="19"/>
              </w:rPr>
              <w:t xml:space="preserve">Baseline data collection only</w:t>
            </w:r>
          </w:p>
        </w:tc>
        <w:tc>
          <w:tcPr>
            <w:tcW w:type="dxa" w:w="0"/>
            <w:tcMar>
              <w:top w:type="dxa" w:w="60"/>
              <w:left w:type="dxa" w:w="90"/>
              <w:bottom w:type="dxa" w:w="60"/>
              <w:right w:type="dxa" w:w="90"/>
            </w:tcMar>
          </w:tcPr>
          <w:p>
            <w:pPr>
              <w:spacing w:after="0"/>
            </w:pPr>
            <w:r>
              <w:rPr>
                <w:sz w:val="19"/>
                <w:szCs w:val="19"/>
              </w:rPr>
              <w:t xml:space="preserve">Onboarding + full intervention</w:t>
            </w:r>
          </w:p>
        </w:tc>
      </w:tr>
    </w:tbl>
    <w:p>
      <w:pPr>
        <w:spacing w:after="120"/>
      </w:pPr>
    </w:p>
    <w:p>
      <w:pPr>
        <w:pStyle w:val="ListParagraph"/>
        <w:numPr>
          <w:ilvl w:val="0"/>
          <w:numId w:val="2"/>
        </w:numPr>
        <w:spacing w:after="60"/>
      </w:pPr>
      <w:r>
        <w:rPr>
          <w:b/>
          <w:bCs/>
        </w:rPr>
        <w:t xml:space="preserve">Randomisation:</w:t>
      </w:r>
      <w:r>
        <w:t xml:space="preserve"> stratified by region and institution size, conducted by the research partner after baseline data collection; pre-registered (AEA RCT Registry or OSF) </w:t>
      </w:r>
      <w:r>
        <w:rPr>
          <w:rFonts w:ascii="Consolas" w:cs="Consolas" w:eastAsia="Consolas" w:hAnsi="Consolas"/>
          <w:sz w:val="18"/>
          <w:szCs w:val="18"/>
          <w:shd w:fill="F1F5F9" w:val="clear"/>
        </w:rPr>
        <w:t xml:space="preserve">[TBC]</w:t>
      </w:r>
      <w:r>
        <w:t xml:space="preserve">.</w:t>
      </w:r>
    </w:p>
    <w:p>
      <w:pPr>
        <w:pStyle w:val="ListParagraph"/>
        <w:numPr>
          <w:ilvl w:val="0"/>
          <w:numId w:val="2"/>
        </w:numPr>
        <w:spacing w:after="60"/>
      </w:pPr>
      <w:r>
        <w:rPr>
          <w:b/>
          <w:bCs/>
        </w:rPr>
        <w:t xml:space="preserve">Comparison 1 (A + B vs. C, months 4–12):</w:t>
      </w:r>
      <w:r>
        <w:t xml:space="preserve"> effect of the intervention on fraud losses and portfolio quality.</w:t>
      </w:r>
    </w:p>
    <w:p>
      <w:pPr>
        <w:pStyle w:val="ListParagraph"/>
        <w:numPr>
          <w:ilvl w:val="0"/>
          <w:numId w:val="2"/>
        </w:numPr>
        <w:spacing w:after="60"/>
      </w:pPr>
      <w:r>
        <w:rPr>
          <w:b/>
          <w:bCs/>
        </w:rPr>
        <w:t xml:space="preserve">Comparison 2 (A vs. B):</w:t>
      </w:r>
      <w:r>
        <w:t xml:space="preserve"> value added by federation.</w:t>
      </w:r>
    </w:p>
    <w:p>
      <w:pPr>
        <w:pStyle w:val="ListParagraph"/>
        <w:numPr>
          <w:ilvl w:val="0"/>
          <w:numId w:val="2"/>
        </w:numPr>
        <w:spacing w:after="60"/>
      </w:pPr>
      <w:r>
        <w:rPr>
          <w:b/>
          <w:bCs/>
        </w:rPr>
        <w:t xml:space="preserve">Fairness:</w:t>
      </w:r>
      <w:r>
        <w:t xml:space="preserve"> every institution receives the full intervention by month 15; C-arm institutions receive it free for the remainder of the grant.</w:t>
      </w:r>
    </w:p>
    <w:p>
      <w:pPr>
        <w:pStyle w:val="ListParagraph"/>
        <w:numPr>
          <w:ilvl w:val="0"/>
          <w:numId w:val="2"/>
        </w:numPr>
        <w:spacing w:after="60"/>
      </w:pPr>
      <w:r>
        <w:rPr>
          <w:b/>
          <w:bCs/>
        </w:rPr>
        <w:t xml:space="preserve">Power:</w:t>
      </w:r>
      <w:r>
        <w:t xml:space="preserve"> with 32 treated vs. 16 control clusters, the pilot is powered to detect large effects on institution-level fraud-loss and PAR outcomes </w:t>
      </w:r>
      <w:r>
        <w:rPr>
          <w:rFonts w:ascii="Consolas" w:cs="Consolas" w:eastAsia="Consolas" w:hAnsi="Consolas"/>
          <w:sz w:val="18"/>
          <w:szCs w:val="18"/>
          <w:shd w:fill="F1F5F9" w:val="clear"/>
        </w:rPr>
        <w:t xml:space="preserve">[Stage 0 result: MDE from baseline variance]</w:t>
      </w:r>
      <w:r>
        <w:t xml:space="preserve">. It is </w:t>
      </w:r>
      <w:r>
        <w:rPr>
          <w:i/>
          <w:iCs/>
        </w:rPr>
        <w:t xml:space="preserve">not</w:t>
      </w:r>
      <w:r>
        <w:t xml:space="preserve"> powered for member-level outcomes — that is the purpose of Stage 2.</w:t>
      </w:r>
    </w:p>
    <w:p>
      <w:pPr>
        <w:pBdr>
          <w:bottom w:val="single" w:color="CBD5E1" w:sz="6" w:space="1"/>
        </w:pBdr>
        <w:spacing w:after="160"/>
      </w:pPr>
    </w:p>
    <w:p>
      <w:pPr>
        <w:pStyle w:val="Heading1"/>
        <w:spacing w:after="140" w:before="320"/>
      </w:pPr>
      <w:r>
        <w:rPr>
          <w:b/>
          <w:bCs/>
          <w:color w:val="0F766E"/>
          <w:sz w:val="28"/>
          <w:szCs w:val="28"/>
        </w:rPr>
        <w:t xml:space="preserve">7. Implementation plan</w:t>
      </w:r>
    </w:p>
    <w:tbl>
      <w:tblPr>
        <w:tblW w:type="dxa" w:w="9638"/>
        <w:tblBorders>
          <w:top w:val="single" w:color="CBD5E1" w:sz="4"/>
          <w:left w:val="none" w:sz="0"/>
          <w:bottom w:val="single" w:color="CBD5E1" w:sz="4"/>
          <w:right w:val="none" w:sz="0"/>
          <w:insideH w:val="single" w:color="E2E8F0" w:sz="4"/>
          <w:insideV w:val="none" w:sz="0"/>
        </w:tblBorders>
      </w:tblPr>
      <w:tblGrid>
        <w:gridCol w:w="2610"/>
        <w:gridCol w:w="1237"/>
        <w:gridCol w:w="5791"/>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Phase</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Months</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Activities</w:t>
            </w:r>
          </w:p>
        </w:tc>
      </w:tr>
      <w:tr>
        <w:trPr>
          <w:tblHeader w:val="false"/>
        </w:trPr>
        <w:tc>
          <w:tcPr>
            <w:tcW w:type="dxa" w:w="0"/>
            <w:tcMar>
              <w:top w:type="dxa" w:w="60"/>
              <w:left w:type="dxa" w:w="90"/>
              <w:bottom w:type="dxa" w:w="60"/>
              <w:right w:type="dxa" w:w="90"/>
            </w:tcMar>
          </w:tcPr>
          <w:p>
            <w:pPr>
              <w:spacing w:after="0"/>
            </w:pPr>
            <w:r>
              <w:rPr>
                <w:b/>
                <w:bCs/>
                <w:sz w:val="19"/>
                <w:szCs w:val="19"/>
              </w:rPr>
              <w:t xml:space="preserve">0. Set-up</w:t>
            </w:r>
          </w:p>
        </w:tc>
        <w:tc>
          <w:tcPr>
            <w:tcW w:type="dxa" w:w="0"/>
            <w:tcMar>
              <w:top w:type="dxa" w:w="60"/>
              <w:left w:type="dxa" w:w="90"/>
              <w:bottom w:type="dxa" w:w="60"/>
              <w:right w:type="dxa" w:w="90"/>
            </w:tcMar>
          </w:tcPr>
          <w:p>
            <w:pPr>
              <w:spacing w:after="0"/>
            </w:pPr>
            <w:r>
              <w:rPr>
                <w:sz w:val="19"/>
                <w:szCs w:val="19"/>
              </w:rPr>
              <w:t xml:space="preserve">1–2</w:t>
            </w:r>
          </w:p>
        </w:tc>
        <w:tc>
          <w:tcPr>
            <w:tcW w:type="dxa" w:w="0"/>
            <w:tcMar>
              <w:top w:type="dxa" w:w="60"/>
              <w:left w:type="dxa" w:w="90"/>
              <w:bottom w:type="dxa" w:w="60"/>
              <w:right w:type="dxa" w:w="90"/>
            </w:tcMar>
          </w:tcPr>
          <w:p>
            <w:pPr>
              <w:spacing w:after="0"/>
            </w:pPr>
            <w:r>
              <w:rPr>
                <w:sz w:val="19"/>
                <w:szCs w:val="19"/>
              </w:rPr>
              <w:t xml:space="preserve">Finalise research partnership and pre-analysis plan; recruit and randomise 48 institutions; sign DPPA-compliant data-processing agreements; ethics approval </w:t>
            </w:r>
            <w:r>
              <w:rPr>
                <w:rFonts w:ascii="Consolas" w:cs="Consolas" w:eastAsia="Consolas" w:hAnsi="Consolas"/>
                <w:sz w:val="19"/>
                <w:szCs w:val="19"/>
                <w:shd w:fill="F1F5F9" w:val="clear"/>
              </w:rPr>
              <w:t xml:space="preserve">[TBC: UNCST / institutional REC]</w:t>
            </w:r>
            <w:r>
              <w:rPr>
                <w:sz w:val="19"/>
                <w:szCs w:val="19"/>
              </w:rPr>
              <w:t xml:space="preserve">; finalise alert workflow and case-tracking tools; procure local-node hardware.</w:t>
            </w:r>
          </w:p>
        </w:tc>
      </w:tr>
      <w:tr>
        <w:trPr>
          <w:tblHeader w:val="false"/>
        </w:trPr>
        <w:tc>
          <w:tcPr>
            <w:tcW w:type="dxa" w:w="0"/>
            <w:tcMar>
              <w:top w:type="dxa" w:w="60"/>
              <w:left w:type="dxa" w:w="90"/>
              <w:bottom w:type="dxa" w:w="60"/>
              <w:right w:type="dxa" w:w="90"/>
            </w:tcMar>
          </w:tcPr>
          <w:p>
            <w:pPr>
              <w:spacing w:after="0"/>
            </w:pPr>
            <w:r>
              <w:rPr>
                <w:b/>
                <w:bCs/>
                <w:sz w:val="19"/>
                <w:szCs w:val="19"/>
              </w:rPr>
              <w:t xml:space="preserve">1. Baseline</w:t>
            </w:r>
          </w:p>
        </w:tc>
        <w:tc>
          <w:tcPr>
            <w:tcW w:type="dxa" w:w="0"/>
            <w:tcMar>
              <w:top w:type="dxa" w:w="60"/>
              <w:left w:type="dxa" w:w="90"/>
              <w:bottom w:type="dxa" w:w="60"/>
              <w:right w:type="dxa" w:w="90"/>
            </w:tcMar>
          </w:tcPr>
          <w:p>
            <w:pPr>
              <w:spacing w:after="0"/>
            </w:pPr>
            <w:r>
              <w:rPr>
                <w:sz w:val="19"/>
                <w:szCs w:val="19"/>
              </w:rPr>
              <w:t xml:space="preserve">2–3</w:t>
            </w:r>
          </w:p>
        </w:tc>
        <w:tc>
          <w:tcPr>
            <w:tcW w:type="dxa" w:w="0"/>
            <w:tcMar>
              <w:top w:type="dxa" w:w="60"/>
              <w:left w:type="dxa" w:w="90"/>
              <w:bottom w:type="dxa" w:w="60"/>
              <w:right w:type="dxa" w:w="90"/>
            </w:tcMar>
          </w:tcPr>
          <w:p>
            <w:pPr>
              <w:spacing w:after="0"/>
            </w:pPr>
            <w:r>
              <w:rPr>
                <w:sz w:val="19"/>
                <w:szCs w:val="19"/>
              </w:rPr>
              <w:t xml:space="preserve">Extract 12–24 months of historical data at all 48 sites; run retrospective detection (results withheld from C-arm until month 13); establish baseline fraud-loss, PAR, audit-detection and investigation-cost measures; staff survey.</w:t>
            </w:r>
          </w:p>
        </w:tc>
      </w:tr>
      <w:tr>
        <w:trPr>
          <w:tblHeader w:val="false"/>
        </w:trPr>
        <w:tc>
          <w:tcPr>
            <w:tcW w:type="dxa" w:w="0"/>
            <w:tcMar>
              <w:top w:type="dxa" w:w="60"/>
              <w:left w:type="dxa" w:w="90"/>
              <w:bottom w:type="dxa" w:w="60"/>
              <w:right w:type="dxa" w:w="90"/>
            </w:tcMar>
          </w:tcPr>
          <w:p>
            <w:pPr>
              <w:spacing w:after="0"/>
            </w:pPr>
            <w:r>
              <w:rPr>
                <w:b/>
                <w:bCs/>
                <w:sz w:val="19"/>
                <w:szCs w:val="19"/>
              </w:rPr>
              <w:t xml:space="preserve">2. Onboarding (A, B)</w:t>
            </w:r>
          </w:p>
        </w:tc>
        <w:tc>
          <w:tcPr>
            <w:tcW w:type="dxa" w:w="0"/>
            <w:tcMar>
              <w:top w:type="dxa" w:w="60"/>
              <w:left w:type="dxa" w:w="90"/>
              <w:bottom w:type="dxa" w:w="60"/>
              <w:right w:type="dxa" w:w="90"/>
            </w:tcMar>
          </w:tcPr>
          <w:p>
            <w:pPr>
              <w:spacing w:after="0"/>
            </w:pPr>
            <w:r>
              <w:rPr>
                <w:sz w:val="19"/>
                <w:szCs w:val="19"/>
              </w:rPr>
              <w:t xml:space="preserve">3–4</w:t>
            </w:r>
          </w:p>
        </w:tc>
        <w:tc>
          <w:tcPr>
            <w:tcW w:type="dxa" w:w="0"/>
            <w:tcMar>
              <w:top w:type="dxa" w:w="60"/>
              <w:left w:type="dxa" w:w="90"/>
              <w:bottom w:type="dxa" w:w="60"/>
              <w:right w:type="dxa" w:w="90"/>
            </w:tcMar>
          </w:tcPr>
          <w:p>
            <w:pPr>
              <w:spacing w:after="0"/>
            </w:pPr>
            <w:r>
              <w:rPr>
                <w:sz w:val="19"/>
                <w:szCs w:val="19"/>
              </w:rPr>
              <w:t xml:space="preserve">Install local nodes; validate schema mapping per site; train fraud focal persons and boards (½-day workshop per region); go live with weekly alert cycle.</w:t>
            </w:r>
          </w:p>
        </w:tc>
      </w:tr>
      <w:tr>
        <w:trPr>
          <w:tblHeader w:val="false"/>
        </w:trPr>
        <w:tc>
          <w:tcPr>
            <w:tcW w:type="dxa" w:w="0"/>
            <w:tcMar>
              <w:top w:type="dxa" w:w="60"/>
              <w:left w:type="dxa" w:w="90"/>
              <w:bottom w:type="dxa" w:w="60"/>
              <w:right w:type="dxa" w:w="90"/>
            </w:tcMar>
          </w:tcPr>
          <w:p>
            <w:pPr>
              <w:spacing w:after="0"/>
            </w:pPr>
            <w:r>
              <w:rPr>
                <w:b/>
                <w:bCs/>
                <w:sz w:val="19"/>
                <w:szCs w:val="19"/>
              </w:rPr>
              <w:t xml:space="preserve">3. Operation</w:t>
            </w:r>
          </w:p>
        </w:tc>
        <w:tc>
          <w:tcPr>
            <w:tcW w:type="dxa" w:w="0"/>
            <w:tcMar>
              <w:top w:type="dxa" w:w="60"/>
              <w:left w:type="dxa" w:w="90"/>
              <w:bottom w:type="dxa" w:w="60"/>
              <w:right w:type="dxa" w:w="90"/>
            </w:tcMar>
          </w:tcPr>
          <w:p>
            <w:pPr>
              <w:spacing w:after="0"/>
            </w:pPr>
            <w:r>
              <w:rPr>
                <w:sz w:val="19"/>
                <w:szCs w:val="19"/>
              </w:rPr>
              <w:t xml:space="preserve">4–12</w:t>
            </w:r>
          </w:p>
        </w:tc>
        <w:tc>
          <w:tcPr>
            <w:tcW w:type="dxa" w:w="0"/>
            <w:tcMar>
              <w:top w:type="dxa" w:w="60"/>
              <w:left w:type="dxa" w:w="90"/>
              <w:bottom w:type="dxa" w:w="60"/>
              <w:right w:type="dxa" w:w="90"/>
            </w:tcMar>
          </w:tcPr>
          <w:p>
            <w:pPr>
              <w:spacing w:after="0"/>
            </w:pPr>
            <w:r>
              <w:rPr>
                <w:sz w:val="19"/>
                <w:szCs w:val="19"/>
              </w:rPr>
              <w:t xml:space="preserve">Weekly alert cycle at 32 sites; monthly federated training rounds at A-sites; monthly investigation-outcome collection; quarterly threshold tuning; help desk (WhatsApp) and regional field visits every 6 weeks.</w:t>
            </w:r>
          </w:p>
        </w:tc>
      </w:tr>
      <w:tr>
        <w:trPr>
          <w:tblHeader w:val="false"/>
        </w:trPr>
        <w:tc>
          <w:tcPr>
            <w:tcW w:type="dxa" w:w="0"/>
            <w:tcMar>
              <w:top w:type="dxa" w:w="60"/>
              <w:left w:type="dxa" w:w="90"/>
              <w:bottom w:type="dxa" w:w="60"/>
              <w:right w:type="dxa" w:w="90"/>
            </w:tcMar>
          </w:tcPr>
          <w:p>
            <w:pPr>
              <w:spacing w:after="0"/>
            </w:pPr>
            <w:r>
              <w:rPr>
                <w:b/>
                <w:bCs/>
                <w:sz w:val="19"/>
                <w:szCs w:val="19"/>
              </w:rPr>
              <w:t xml:space="preserve">4. Roll-out to C; federation to B</w:t>
            </w:r>
          </w:p>
        </w:tc>
        <w:tc>
          <w:tcPr>
            <w:tcW w:type="dxa" w:w="0"/>
            <w:tcMar>
              <w:top w:type="dxa" w:w="60"/>
              <w:left w:type="dxa" w:w="90"/>
              <w:bottom w:type="dxa" w:w="60"/>
              <w:right w:type="dxa" w:w="90"/>
            </w:tcMar>
          </w:tcPr>
          <w:p>
            <w:pPr>
              <w:spacing w:after="0"/>
            </w:pPr>
            <w:r>
              <w:rPr>
                <w:sz w:val="19"/>
                <w:szCs w:val="19"/>
              </w:rPr>
              <w:t xml:space="preserve">13–15</w:t>
            </w:r>
          </w:p>
        </w:tc>
        <w:tc>
          <w:tcPr>
            <w:tcW w:type="dxa" w:w="0"/>
            <w:tcMar>
              <w:top w:type="dxa" w:w="60"/>
              <w:left w:type="dxa" w:w="90"/>
              <w:bottom w:type="dxa" w:w="60"/>
              <w:right w:type="dxa" w:w="90"/>
            </w:tcMar>
          </w:tcPr>
          <w:p>
            <w:pPr>
              <w:spacing w:after="0"/>
            </w:pPr>
            <w:r>
              <w:rPr>
                <w:sz w:val="19"/>
                <w:szCs w:val="19"/>
              </w:rPr>
              <w:t xml:space="preserve">Onboard C-arm; enable federation at B-arm; all 48 sites on full intervention.</w:t>
            </w:r>
          </w:p>
        </w:tc>
      </w:tr>
      <w:tr>
        <w:trPr>
          <w:tblHeader w:val="false"/>
        </w:trPr>
        <w:tc>
          <w:tcPr>
            <w:tcW w:type="dxa" w:w="0"/>
            <w:tcMar>
              <w:top w:type="dxa" w:w="60"/>
              <w:left w:type="dxa" w:w="90"/>
              <w:bottom w:type="dxa" w:w="60"/>
              <w:right w:type="dxa" w:w="90"/>
            </w:tcMar>
          </w:tcPr>
          <w:p>
            <w:pPr>
              <w:spacing w:after="0"/>
            </w:pPr>
            <w:r>
              <w:rPr>
                <w:b/>
                <w:bCs/>
                <w:sz w:val="19"/>
                <w:szCs w:val="19"/>
              </w:rPr>
              <w:t xml:space="preserve">5. Analysis and Stage 2 design</w:t>
            </w:r>
          </w:p>
        </w:tc>
        <w:tc>
          <w:tcPr>
            <w:tcW w:type="dxa" w:w="0"/>
            <w:tcMar>
              <w:top w:type="dxa" w:w="60"/>
              <w:left w:type="dxa" w:w="90"/>
              <w:bottom w:type="dxa" w:w="60"/>
              <w:right w:type="dxa" w:w="90"/>
            </w:tcMar>
          </w:tcPr>
          <w:p>
            <w:pPr>
              <w:spacing w:after="0"/>
            </w:pPr>
            <w:r>
              <w:rPr>
                <w:sz w:val="19"/>
                <w:szCs w:val="19"/>
              </w:rPr>
              <w:t xml:space="preserve">13–18</w:t>
            </w:r>
          </w:p>
        </w:tc>
        <w:tc>
          <w:tcPr>
            <w:tcW w:type="dxa" w:w="0"/>
            <w:tcMar>
              <w:top w:type="dxa" w:w="60"/>
              <w:left w:type="dxa" w:w="90"/>
              <w:bottom w:type="dxa" w:w="60"/>
              <w:right w:type="dxa" w:w="90"/>
            </w:tcMar>
          </w:tcPr>
          <w:p>
            <w:pPr>
              <w:spacing w:after="0"/>
            </w:pPr>
            <w:r>
              <w:rPr>
                <w:sz w:val="19"/>
                <w:szCs w:val="19"/>
              </w:rPr>
              <w:t xml:space="preserve">Endline data extraction; impact, process and cost-effectiveness analysis; gender analysis; governance report with UMRA/UCSCU; Stage 2 proposal and full-scale evaluation design.</w:t>
            </w:r>
          </w:p>
        </w:tc>
      </w:tr>
    </w:tbl>
    <w:p>
      <w:pPr>
        <w:spacing w:after="120"/>
      </w:pPr>
    </w:p>
    <w:p>
      <w:pPr>
        <w:spacing w:after="120"/>
      </w:pPr>
      <w:r>
        <w:rPr>
          <w:b/>
          <w:bCs/>
        </w:rPr>
        <w:t xml:space="preserve">Alert workflow (per institution, weekly):</w:t>
      </w:r>
      <w:r>
        <w:t xml:space="preserve"> tool runs on latest export → top-N alerts (N set by investigation capacity, typically 5–10) sent to focal person → focal person records outcome (confirmed fraud / error / false positive / pending) in the case tracker → outcomes feed model recalibration and the evaluation dataset.</w:t>
      </w:r>
    </w:p>
    <w:p>
      <w:pPr>
        <w:pBdr>
          <w:bottom w:val="single" w:color="CBD5E1" w:sz="6" w:space="1"/>
        </w:pBdr>
        <w:spacing w:after="160"/>
      </w:pPr>
    </w:p>
    <w:p>
      <w:pPr>
        <w:pStyle w:val="Heading1"/>
        <w:spacing w:after="140" w:before="320"/>
      </w:pPr>
      <w:r>
        <w:rPr>
          <w:b/>
          <w:bCs/>
          <w:color w:val="0F766E"/>
          <w:sz w:val="28"/>
          <w:szCs w:val="28"/>
        </w:rPr>
        <w:t xml:space="preserve">8. Evaluation design</w:t>
      </w:r>
    </w:p>
    <w:p>
      <w:pPr>
        <w:pStyle w:val="Heading2"/>
        <w:spacing w:after="100" w:before="200"/>
      </w:pPr>
      <w:r>
        <w:rPr>
          <w:b/>
          <w:bCs/>
          <w:color w:val="0F172A"/>
          <w:sz w:val="24"/>
          <w:szCs w:val="24"/>
        </w:rPr>
        <w:t xml:space="preserve">8.1 Outcomes</w:t>
      </w:r>
    </w:p>
    <w:tbl>
      <w:tblPr>
        <w:tblW w:type="dxa" w:w="9638"/>
        <w:tblBorders>
          <w:top w:val="single" w:color="CBD5E1" w:sz="4"/>
          <w:left w:val="none" w:sz="0"/>
          <w:bottom w:val="single" w:color="CBD5E1" w:sz="4"/>
          <w:right w:val="none" w:sz="0"/>
          <w:insideH w:val="single" w:color="E2E8F0" w:sz="4"/>
          <w:insideV w:val="none" w:sz="0"/>
        </w:tblBorders>
      </w:tblPr>
      <w:tblGrid>
        <w:gridCol w:w="2223"/>
        <w:gridCol w:w="3256"/>
        <w:gridCol w:w="2317"/>
        <w:gridCol w:w="1842"/>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Level</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Outcome</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Source</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Timing</w:t>
            </w:r>
          </w:p>
        </w:tc>
      </w:tr>
      <w:tr>
        <w:trPr>
          <w:tblHeader w:val="false"/>
        </w:trPr>
        <w:tc>
          <w:tcPr>
            <w:tcW w:type="dxa" w:w="0"/>
            <w:tcMar>
              <w:top w:type="dxa" w:w="60"/>
              <w:left w:type="dxa" w:w="90"/>
              <w:bottom w:type="dxa" w:w="60"/>
              <w:right w:type="dxa" w:w="90"/>
            </w:tcMar>
          </w:tcPr>
          <w:p>
            <w:pPr>
              <w:spacing w:after="0"/>
            </w:pPr>
            <w:r>
              <w:rPr>
                <w:sz w:val="19"/>
                <w:szCs w:val="19"/>
              </w:rPr>
              <w:t xml:space="preserve">Institution (primary)</w:t>
            </w:r>
          </w:p>
        </w:tc>
        <w:tc>
          <w:tcPr>
            <w:tcW w:type="dxa" w:w="0"/>
            <w:tcMar>
              <w:top w:type="dxa" w:w="60"/>
              <w:left w:type="dxa" w:w="90"/>
              <w:bottom w:type="dxa" w:w="60"/>
              <w:right w:type="dxa" w:w="90"/>
            </w:tcMar>
          </w:tcPr>
          <w:p>
            <w:pPr>
              <w:spacing w:after="0"/>
            </w:pPr>
            <w:r>
              <w:rPr>
                <w:sz w:val="19"/>
                <w:szCs w:val="19"/>
              </w:rPr>
              <w:t xml:space="preserve">Fraud losses as % of portfolio; number and value of confirmed fraud cases</w:t>
            </w:r>
          </w:p>
        </w:tc>
        <w:tc>
          <w:tcPr>
            <w:tcW w:type="dxa" w:w="0"/>
            <w:tcMar>
              <w:top w:type="dxa" w:w="60"/>
              <w:left w:type="dxa" w:w="90"/>
              <w:bottom w:type="dxa" w:w="60"/>
              <w:right w:type="dxa" w:w="90"/>
            </w:tcMar>
          </w:tcPr>
          <w:p>
            <w:pPr>
              <w:spacing w:after="0"/>
            </w:pPr>
            <w:r>
              <w:rPr>
                <w:sz w:val="19"/>
                <w:szCs w:val="19"/>
              </w:rPr>
              <w:t xml:space="preserve">Case tracker; audited accounts</w:t>
            </w:r>
          </w:p>
        </w:tc>
        <w:tc>
          <w:tcPr>
            <w:tcW w:type="dxa" w:w="0"/>
            <w:tcMar>
              <w:top w:type="dxa" w:w="60"/>
              <w:left w:type="dxa" w:w="90"/>
              <w:bottom w:type="dxa" w:w="60"/>
              <w:right w:type="dxa" w:w="90"/>
            </w:tcMar>
          </w:tcPr>
          <w:p>
            <w:pPr>
              <w:spacing w:after="0"/>
            </w:pPr>
            <w:r>
              <w:rPr>
                <w:sz w:val="19"/>
                <w:szCs w:val="19"/>
              </w:rPr>
              <w:t xml:space="preserve">Baseline, month 12, month 15</w:t>
            </w:r>
          </w:p>
        </w:tc>
      </w:tr>
      <w:tr>
        <w:trPr>
          <w:tblHeader w:val="false"/>
        </w:trPr>
        <w:tc>
          <w:tcPr>
            <w:tcW w:type="dxa" w:w="0"/>
            <w:tcMar>
              <w:top w:type="dxa" w:w="60"/>
              <w:left w:type="dxa" w:w="90"/>
              <w:bottom w:type="dxa" w:w="60"/>
              <w:right w:type="dxa" w:w="90"/>
            </w:tcMar>
          </w:tcPr>
          <w:p>
            <w:pPr>
              <w:spacing w:after="0"/>
            </w:pPr>
            <w:r>
              <w:rPr>
                <w:sz w:val="19"/>
                <w:szCs w:val="19"/>
              </w:rPr>
              <w:t xml:space="preserve">Institution (primary)</w:t>
            </w:r>
          </w:p>
        </w:tc>
        <w:tc>
          <w:tcPr>
            <w:tcW w:type="dxa" w:w="0"/>
            <w:tcMar>
              <w:top w:type="dxa" w:w="60"/>
              <w:left w:type="dxa" w:w="90"/>
              <w:bottom w:type="dxa" w:w="60"/>
              <w:right w:type="dxa" w:w="90"/>
            </w:tcMar>
          </w:tcPr>
          <w:p>
            <w:pPr>
              <w:spacing w:after="0"/>
            </w:pPr>
            <w:r>
              <w:rPr>
                <w:sz w:val="19"/>
                <w:szCs w:val="19"/>
              </w:rPr>
              <w:t xml:space="preserve">PAR30, PAR90, write-offs</w:t>
            </w:r>
          </w:p>
        </w:tc>
        <w:tc>
          <w:tcPr>
            <w:tcW w:type="dxa" w:w="0"/>
            <w:tcMar>
              <w:top w:type="dxa" w:w="60"/>
              <w:left w:type="dxa" w:w="90"/>
              <w:bottom w:type="dxa" w:w="60"/>
              <w:right w:type="dxa" w:w="90"/>
            </w:tcMar>
          </w:tcPr>
          <w:p>
            <w:pPr>
              <w:spacing w:after="0"/>
            </w:pPr>
            <w:r>
              <w:rPr>
                <w:sz w:val="19"/>
                <w:szCs w:val="19"/>
              </w:rPr>
              <w:t xml:space="preserve">Loan book exports</w:t>
            </w:r>
          </w:p>
        </w:tc>
        <w:tc>
          <w:tcPr>
            <w:tcW w:type="dxa" w:w="0"/>
            <w:tcMar>
              <w:top w:type="dxa" w:w="60"/>
              <w:left w:type="dxa" w:w="90"/>
              <w:bottom w:type="dxa" w:w="60"/>
              <w:right w:type="dxa" w:w="90"/>
            </w:tcMar>
          </w:tcPr>
          <w:p>
            <w:pPr>
              <w:spacing w:after="0"/>
            </w:pPr>
            <w:r>
              <w:rPr>
                <w:sz w:val="19"/>
                <w:szCs w:val="19"/>
              </w:rPr>
              <w:t xml:space="preserve">Monthly</w:t>
            </w:r>
          </w:p>
        </w:tc>
      </w:tr>
      <w:tr>
        <w:trPr>
          <w:tblHeader w:val="false"/>
        </w:trPr>
        <w:tc>
          <w:tcPr>
            <w:tcW w:type="dxa" w:w="0"/>
            <w:tcMar>
              <w:top w:type="dxa" w:w="60"/>
              <w:left w:type="dxa" w:w="90"/>
              <w:bottom w:type="dxa" w:w="60"/>
              <w:right w:type="dxa" w:w="90"/>
            </w:tcMar>
          </w:tcPr>
          <w:p>
            <w:pPr>
              <w:spacing w:after="0"/>
            </w:pPr>
            <w:r>
              <w:rPr>
                <w:sz w:val="19"/>
                <w:szCs w:val="19"/>
              </w:rPr>
              <w:t xml:space="preserve">Institution (secondary)</w:t>
            </w:r>
          </w:p>
        </w:tc>
        <w:tc>
          <w:tcPr>
            <w:tcW w:type="dxa" w:w="0"/>
            <w:tcMar>
              <w:top w:type="dxa" w:w="60"/>
              <w:left w:type="dxa" w:w="90"/>
              <w:bottom w:type="dxa" w:w="60"/>
              <w:right w:type="dxa" w:w="90"/>
            </w:tcMar>
          </w:tcPr>
          <w:p>
            <w:pPr>
              <w:spacing w:after="0"/>
            </w:pPr>
            <w:r>
              <w:rPr>
                <w:sz w:val="19"/>
                <w:szCs w:val="19"/>
              </w:rPr>
              <w:t xml:space="preserve">Time from fraud event to detection; investigation cost per case; share of alerts investigated</w:t>
            </w:r>
          </w:p>
        </w:tc>
        <w:tc>
          <w:tcPr>
            <w:tcW w:type="dxa" w:w="0"/>
            <w:tcMar>
              <w:top w:type="dxa" w:w="60"/>
              <w:left w:type="dxa" w:w="90"/>
              <w:bottom w:type="dxa" w:w="60"/>
              <w:right w:type="dxa" w:w="90"/>
            </w:tcMar>
          </w:tcPr>
          <w:p>
            <w:pPr>
              <w:spacing w:after="0"/>
            </w:pPr>
            <w:r>
              <w:rPr>
                <w:sz w:val="19"/>
                <w:szCs w:val="19"/>
              </w:rPr>
              <w:t xml:space="preserve">Case tracker</w:t>
            </w:r>
          </w:p>
        </w:tc>
        <w:tc>
          <w:tcPr>
            <w:tcW w:type="dxa" w:w="0"/>
            <w:tcMar>
              <w:top w:type="dxa" w:w="60"/>
              <w:left w:type="dxa" w:w="90"/>
              <w:bottom w:type="dxa" w:w="60"/>
              <w:right w:type="dxa" w:w="90"/>
            </w:tcMar>
          </w:tcPr>
          <w:p>
            <w:pPr>
              <w:spacing w:after="0"/>
            </w:pPr>
            <w:r>
              <w:rPr>
                <w:sz w:val="19"/>
                <w:szCs w:val="19"/>
              </w:rPr>
              <w:t xml:space="preserve">Continuous</w:t>
            </w:r>
          </w:p>
        </w:tc>
      </w:tr>
      <w:tr>
        <w:trPr>
          <w:tblHeader w:val="false"/>
        </w:trPr>
        <w:tc>
          <w:tcPr>
            <w:tcW w:type="dxa" w:w="0"/>
            <w:tcMar>
              <w:top w:type="dxa" w:w="60"/>
              <w:left w:type="dxa" w:w="90"/>
              <w:bottom w:type="dxa" w:w="60"/>
              <w:right w:type="dxa" w:w="90"/>
            </w:tcMar>
          </w:tcPr>
          <w:p>
            <w:pPr>
              <w:spacing w:after="0"/>
            </w:pPr>
            <w:r>
              <w:rPr>
                <w:sz w:val="19"/>
                <w:szCs w:val="19"/>
              </w:rPr>
              <w:t xml:space="preserve">Behavioural (mechanism)</w:t>
            </w:r>
          </w:p>
        </w:tc>
        <w:tc>
          <w:tcPr>
            <w:tcW w:type="dxa" w:w="0"/>
            <w:tcMar>
              <w:top w:type="dxa" w:w="60"/>
              <w:left w:type="dxa" w:w="90"/>
              <w:bottom w:type="dxa" w:w="60"/>
              <w:right w:type="dxa" w:w="90"/>
            </w:tcMar>
          </w:tcPr>
          <w:p>
            <w:pPr>
              <w:spacing w:after="0"/>
            </w:pPr>
            <w:r>
              <w:rPr>
                <w:sz w:val="19"/>
                <w:szCs w:val="19"/>
              </w:rPr>
              <w:t xml:space="preserve">After-hours approvals, officer concentration, round-amount share</w:t>
            </w:r>
          </w:p>
        </w:tc>
        <w:tc>
          <w:tcPr>
            <w:tcW w:type="dxa" w:w="0"/>
            <w:tcMar>
              <w:top w:type="dxa" w:w="60"/>
              <w:left w:type="dxa" w:w="90"/>
              <w:bottom w:type="dxa" w:w="60"/>
              <w:right w:type="dxa" w:w="90"/>
            </w:tcMar>
          </w:tcPr>
          <w:p>
            <w:pPr>
              <w:spacing w:after="0"/>
            </w:pPr>
            <w:r>
              <w:rPr>
                <w:sz w:val="19"/>
                <w:szCs w:val="19"/>
              </w:rPr>
              <w:t xml:space="preserve">Transaction data</w:t>
            </w:r>
          </w:p>
        </w:tc>
        <w:tc>
          <w:tcPr>
            <w:tcW w:type="dxa" w:w="0"/>
            <w:tcMar>
              <w:top w:type="dxa" w:w="60"/>
              <w:left w:type="dxa" w:w="90"/>
              <w:bottom w:type="dxa" w:w="60"/>
              <w:right w:type="dxa" w:w="90"/>
            </w:tcMar>
          </w:tcPr>
          <w:p>
            <w:pPr>
              <w:spacing w:after="0"/>
            </w:pPr>
            <w:r>
              <w:rPr>
                <w:sz w:val="19"/>
                <w:szCs w:val="19"/>
              </w:rPr>
              <w:t xml:space="preserve">Monthly</w:t>
            </w:r>
          </w:p>
        </w:tc>
      </w:tr>
      <w:tr>
        <w:trPr>
          <w:tblHeader w:val="false"/>
        </w:trPr>
        <w:tc>
          <w:tcPr>
            <w:tcW w:type="dxa" w:w="0"/>
            <w:tcMar>
              <w:top w:type="dxa" w:w="60"/>
              <w:left w:type="dxa" w:w="90"/>
              <w:bottom w:type="dxa" w:w="60"/>
              <w:right w:type="dxa" w:w="90"/>
            </w:tcMar>
          </w:tcPr>
          <w:p>
            <w:pPr>
              <w:spacing w:after="0"/>
            </w:pPr>
            <w:r>
              <w:rPr>
                <w:sz w:val="19"/>
                <w:szCs w:val="19"/>
              </w:rPr>
              <w:t xml:space="preserve">Institution (secondary)</w:t>
            </w:r>
          </w:p>
        </w:tc>
        <w:tc>
          <w:tcPr>
            <w:tcW w:type="dxa" w:w="0"/>
            <w:tcMar>
              <w:top w:type="dxa" w:w="60"/>
              <w:left w:type="dxa" w:w="90"/>
              <w:bottom w:type="dxa" w:w="60"/>
              <w:right w:type="dxa" w:w="90"/>
            </w:tcMar>
          </w:tcPr>
          <w:p>
            <w:pPr>
              <w:spacing w:after="0"/>
            </w:pPr>
            <w:r>
              <w:rPr>
                <w:sz w:val="19"/>
                <w:szCs w:val="19"/>
              </w:rPr>
              <w:t xml:space="preserve">Solvency indicators; continued licensing; board-reported confidence</w:t>
            </w:r>
          </w:p>
        </w:tc>
        <w:tc>
          <w:tcPr>
            <w:tcW w:type="dxa" w:w="0"/>
            <w:tcMar>
              <w:top w:type="dxa" w:w="60"/>
              <w:left w:type="dxa" w:w="90"/>
              <w:bottom w:type="dxa" w:w="60"/>
              <w:right w:type="dxa" w:w="90"/>
            </w:tcMar>
          </w:tcPr>
          <w:p>
            <w:pPr>
              <w:spacing w:after="0"/>
            </w:pPr>
            <w:r>
              <w:rPr>
                <w:sz w:val="19"/>
                <w:szCs w:val="19"/>
              </w:rPr>
              <w:t xml:space="preserve">UMRA data; board survey</w:t>
            </w:r>
          </w:p>
        </w:tc>
        <w:tc>
          <w:tcPr>
            <w:tcW w:type="dxa" w:w="0"/>
            <w:tcMar>
              <w:top w:type="dxa" w:w="60"/>
              <w:left w:type="dxa" w:w="90"/>
              <w:bottom w:type="dxa" w:w="60"/>
              <w:right w:type="dxa" w:w="90"/>
            </w:tcMar>
          </w:tcPr>
          <w:p>
            <w:pPr>
              <w:spacing w:after="0"/>
            </w:pPr>
            <w:r>
              <w:rPr>
                <w:sz w:val="19"/>
                <w:szCs w:val="19"/>
              </w:rPr>
              <w:t xml:space="preserve">Baseline, endline</w:t>
            </w:r>
          </w:p>
        </w:tc>
      </w:tr>
      <w:tr>
        <w:trPr>
          <w:tblHeader w:val="false"/>
        </w:trPr>
        <w:tc>
          <w:tcPr>
            <w:tcW w:type="dxa" w:w="0"/>
            <w:tcMar>
              <w:top w:type="dxa" w:w="60"/>
              <w:left w:type="dxa" w:w="90"/>
              <w:bottom w:type="dxa" w:w="60"/>
              <w:right w:type="dxa" w:w="90"/>
            </w:tcMar>
          </w:tcPr>
          <w:p>
            <w:pPr>
              <w:spacing w:after="0"/>
            </w:pPr>
            <w:r>
              <w:rPr>
                <w:sz w:val="19"/>
                <w:szCs w:val="19"/>
              </w:rPr>
              <w:t xml:space="preserve">Member (exploratory)</w:t>
            </w:r>
          </w:p>
        </w:tc>
        <w:tc>
          <w:tcPr>
            <w:tcW w:type="dxa" w:w="0"/>
            <w:tcMar>
              <w:top w:type="dxa" w:w="60"/>
              <w:left w:type="dxa" w:w="90"/>
              <w:bottom w:type="dxa" w:w="60"/>
              <w:right w:type="dxa" w:w="90"/>
            </w:tcMar>
          </w:tcPr>
          <w:p>
            <w:pPr>
              <w:spacing w:after="0"/>
            </w:pPr>
            <w:r>
              <w:rPr>
                <w:sz w:val="19"/>
                <w:szCs w:val="19"/>
              </w:rPr>
              <w:t xml:space="preserve">Savings retained; loan access; interest rate; trust in institution</w:t>
            </w:r>
          </w:p>
        </w:tc>
        <w:tc>
          <w:tcPr>
            <w:tcW w:type="dxa" w:w="0"/>
            <w:tcMar>
              <w:top w:type="dxa" w:w="60"/>
              <w:left w:type="dxa" w:w="90"/>
              <w:bottom w:type="dxa" w:w="60"/>
              <w:right w:type="dxa" w:w="90"/>
            </w:tcMar>
          </w:tcPr>
          <w:p>
            <w:pPr>
              <w:spacing w:after="0"/>
            </w:pPr>
            <w:r>
              <w:rPr>
                <w:sz w:val="19"/>
                <w:szCs w:val="19"/>
              </w:rPr>
              <w:t xml:space="preserve">Member sample survey (n≈20 per institution)</w:t>
            </w:r>
          </w:p>
        </w:tc>
        <w:tc>
          <w:tcPr>
            <w:tcW w:type="dxa" w:w="0"/>
            <w:tcMar>
              <w:top w:type="dxa" w:w="60"/>
              <w:left w:type="dxa" w:w="90"/>
              <w:bottom w:type="dxa" w:w="60"/>
              <w:right w:type="dxa" w:w="90"/>
            </w:tcMar>
          </w:tcPr>
          <w:p>
            <w:pPr>
              <w:spacing w:after="0"/>
            </w:pPr>
            <w:r>
              <w:rPr>
                <w:sz w:val="19"/>
                <w:szCs w:val="19"/>
              </w:rPr>
              <w:t xml:space="preserve">Baseline, endline</w:t>
            </w:r>
          </w:p>
        </w:tc>
      </w:tr>
      <w:tr>
        <w:trPr>
          <w:tblHeader w:val="false"/>
        </w:trPr>
        <w:tc>
          <w:tcPr>
            <w:tcW w:type="dxa" w:w="0"/>
            <w:tcMar>
              <w:top w:type="dxa" w:w="60"/>
              <w:left w:type="dxa" w:w="90"/>
              <w:bottom w:type="dxa" w:w="60"/>
              <w:right w:type="dxa" w:w="90"/>
            </w:tcMar>
          </w:tcPr>
          <w:p>
            <w:pPr>
              <w:spacing w:after="0"/>
            </w:pPr>
            <w:r>
              <w:rPr>
                <w:sz w:val="19"/>
                <w:szCs w:val="19"/>
              </w:rPr>
              <w:t xml:space="preserve">Gender</w:t>
            </w:r>
          </w:p>
        </w:tc>
        <w:tc>
          <w:tcPr>
            <w:tcW w:type="dxa" w:w="0"/>
            <w:tcMar>
              <w:top w:type="dxa" w:w="60"/>
              <w:left w:type="dxa" w:w="90"/>
              <w:bottom w:type="dxa" w:w="60"/>
              <w:right w:type="dxa" w:w="90"/>
            </w:tcMar>
          </w:tcPr>
          <w:p>
            <w:pPr>
              <w:spacing w:after="0"/>
            </w:pPr>
            <w:r>
              <w:rPr>
                <w:sz w:val="19"/>
                <w:szCs w:val="19"/>
              </w:rPr>
              <w:t xml:space="preserve">All above disaggregated by member gender and women-led institutions</w:t>
            </w:r>
          </w:p>
        </w:tc>
        <w:tc>
          <w:tcPr>
            <w:tcW w:type="dxa" w:w="0"/>
            <w:tcMar>
              <w:top w:type="dxa" w:w="60"/>
              <w:left w:type="dxa" w:w="90"/>
              <w:bottom w:type="dxa" w:w="60"/>
              <w:right w:type="dxa" w:w="90"/>
            </w:tcMar>
          </w:tcPr>
          <w:p>
            <w:pPr>
              <w:spacing w:after="0"/>
            </w:pPr>
            <w:r>
              <w:rPr>
                <w:sz w:val="19"/>
                <w:szCs w:val="19"/>
              </w:rPr>
              <w:t xml:space="preserve">As above</w:t>
            </w:r>
          </w:p>
        </w:tc>
        <w:tc>
          <w:tcPr>
            <w:tcW w:type="dxa" w:w="0"/>
            <w:tcMar>
              <w:top w:type="dxa" w:w="60"/>
              <w:left w:type="dxa" w:w="90"/>
              <w:bottom w:type="dxa" w:w="60"/>
              <w:right w:type="dxa" w:w="90"/>
            </w:tcMar>
          </w:tcPr>
          <w:p>
            <w:pPr>
              <w:spacing w:after="0"/>
            </w:pPr>
            <w:r>
              <w:rPr>
                <w:sz w:val="19"/>
                <w:szCs w:val="19"/>
              </w:rPr>
              <w:t xml:space="preserve">As above</w:t>
            </w:r>
          </w:p>
        </w:tc>
      </w:tr>
    </w:tbl>
    <w:p>
      <w:pPr>
        <w:spacing w:after="120"/>
      </w:pPr>
    </w:p>
    <w:p>
      <w:pPr>
        <w:pStyle w:val="Heading2"/>
        <w:spacing w:after="100" w:before="200"/>
      </w:pPr>
      <w:r>
        <w:rPr>
          <w:b/>
          <w:bCs/>
          <w:color w:val="0F172A"/>
          <w:sz w:val="24"/>
          <w:szCs w:val="24"/>
        </w:rPr>
        <w:t xml:space="preserve">8.2 Methods</w:t>
      </w:r>
    </w:p>
    <w:p>
      <w:pPr>
        <w:pStyle w:val="ListParagraph"/>
        <w:numPr>
          <w:ilvl w:val="0"/>
          <w:numId w:val="2"/>
        </w:numPr>
        <w:spacing w:after="60"/>
      </w:pPr>
      <w:r>
        <w:rPr>
          <w:b/>
          <w:bCs/>
        </w:rPr>
        <w:t xml:space="preserve">Impact:</w:t>
      </w:r>
      <w:r>
        <w:t xml:space="preserve"> intention-to-treat comparison of A+B vs. C over months 4–12 with baseline controls; A vs. B for the federation contrast; difference-in-differences using monthly PAR series as a robustness check.</w:t>
      </w:r>
    </w:p>
    <w:p>
      <w:pPr>
        <w:pStyle w:val="ListParagraph"/>
        <w:numPr>
          <w:ilvl w:val="0"/>
          <w:numId w:val="2"/>
        </w:numPr>
        <w:spacing w:after="60"/>
      </w:pPr>
      <w:r>
        <w:rPr>
          <w:b/>
          <w:bCs/>
        </w:rPr>
        <w:t xml:space="preserve">Process:</w:t>
      </w:r>
      <w:r>
        <w:t xml:space="preserve"> structured interviews with focal persons and boards at months 6 and 12; alert-log analysis (precision by typology, investigation rates, reasons for non-action).</w:t>
      </w:r>
    </w:p>
    <w:p>
      <w:pPr>
        <w:pStyle w:val="ListParagraph"/>
        <w:numPr>
          <w:ilvl w:val="0"/>
          <w:numId w:val="2"/>
        </w:numPr>
        <w:spacing w:after="60"/>
      </w:pPr>
      <w:r>
        <w:rPr>
          <w:b/>
          <w:bCs/>
        </w:rPr>
        <w:t xml:space="preserve">Cost-effectiveness:</w:t>
      </w:r>
      <w:r>
        <w:t xml:space="preserve"> full costing of the intervention (development amortised, hardware, connectivity, hosting, training, support, institution staff time) against measured loss reduction and detection gains; comparison with the cost of manual audit per loan covered.</w:t>
      </w:r>
    </w:p>
    <w:p>
      <w:pPr>
        <w:pStyle w:val="ListParagraph"/>
        <w:numPr>
          <w:ilvl w:val="0"/>
          <w:numId w:val="2"/>
        </w:numPr>
        <w:spacing w:after="60"/>
      </w:pPr>
      <w:r>
        <w:rPr>
          <w:b/>
          <w:bCs/>
        </w:rPr>
        <w:t xml:space="preserve">Detection accuracy:</w:t>
      </w:r>
      <w:r>
        <w:t xml:space="preserve"> precision/recall of alerts against confirmed cases, by typology and institution type; threshold sensitivity.</w:t>
      </w:r>
    </w:p>
    <w:p>
      <w:pPr>
        <w:pStyle w:val="Heading2"/>
        <w:spacing w:after="100" w:before="200"/>
      </w:pPr>
      <w:r>
        <w:rPr>
          <w:b/>
          <w:bCs/>
          <w:color w:val="0F172A"/>
          <w:sz w:val="24"/>
          <w:szCs w:val="24"/>
        </w:rPr>
        <w:t xml:space="preserve">8.3 Ethics, consent and data protection</w:t>
      </w:r>
    </w:p>
    <w:p>
      <w:pPr>
        <w:pStyle w:val="ListParagraph"/>
        <w:numPr>
          <w:ilvl w:val="0"/>
          <w:numId w:val="2"/>
        </w:numPr>
        <w:spacing w:after="60"/>
      </w:pPr>
      <w:r>
        <w:t xml:space="preserve">Institutional consent from boards; staff informed that monitoring is in place (this is standard practice and part of the deterrence mechanism); member survey consent individually.</w:t>
      </w:r>
    </w:p>
    <w:p>
      <w:pPr>
        <w:pStyle w:val="ListParagraph"/>
        <w:numPr>
          <w:ilvl w:val="0"/>
          <w:numId w:val="2"/>
        </w:numPr>
        <w:spacing w:after="60"/>
      </w:pPr>
      <w:r>
        <w:t xml:space="preserve">Raw member data never leaves the institution; the research team receives only aggregate and de-identified alert/outcome data under a data-processing agreement; the aggregation server is hosted in Uganda.</w:t>
      </w:r>
    </w:p>
    <w:p>
      <w:pPr>
        <w:pStyle w:val="ListParagraph"/>
        <w:numPr>
          <w:ilvl w:val="0"/>
          <w:numId w:val="2"/>
        </w:numPr>
        <w:spacing w:after="60"/>
      </w:pPr>
      <w:r>
        <w:t xml:space="preserve">Alerts are triage inputs for the institution's own investigation, not accusations; disciplinary decisions remain entirely with the institution. A protocol will define how alerts are communicated to avoid unfair treatment of staff.</w:t>
      </w:r>
    </w:p>
    <w:p>
      <w:pPr>
        <w:pStyle w:val="ListParagraph"/>
        <w:numPr>
          <w:ilvl w:val="0"/>
          <w:numId w:val="2"/>
        </w:numPr>
        <w:spacing w:after="60"/>
      </w:pPr>
      <w:r>
        <w:t xml:space="preserve">Ethics review: </w:t>
      </w:r>
      <w:r>
        <w:rPr>
          <w:rFonts w:ascii="Consolas" w:cs="Consolas" w:eastAsia="Consolas" w:hAnsi="Consolas"/>
          <w:sz w:val="18"/>
          <w:szCs w:val="18"/>
          <w:shd w:fill="F1F5F9" w:val="clear"/>
        </w:rPr>
        <w:t xml:space="preserve">[TBC: Uganda National Council for Science and Technology and a registered research ethics committee]</w:t>
      </w:r>
      <w:r>
        <w:t xml:space="preserve">.</w:t>
      </w:r>
    </w:p>
    <w:p>
      <w:pPr>
        <w:pBdr>
          <w:bottom w:val="single" w:color="CBD5E1" w:sz="6" w:space="1"/>
        </w:pBdr>
        <w:spacing w:after="160"/>
      </w:pPr>
    </w:p>
    <w:p>
      <w:pPr>
        <w:pStyle w:val="Heading1"/>
        <w:spacing w:after="140" w:before="320"/>
      </w:pPr>
      <w:r>
        <w:rPr>
          <w:b/>
          <w:bCs/>
          <w:color w:val="0F766E"/>
          <w:sz w:val="28"/>
          <w:szCs w:val="28"/>
        </w:rPr>
        <w:t xml:space="preserve">9. Cost-effectiveness plan</w:t>
      </w:r>
    </w:p>
    <w:tbl>
      <w:tblPr>
        <w:tblW w:type="dxa" w:w="9638"/>
        <w:tblBorders>
          <w:top w:val="single" w:color="CBD5E1" w:sz="4"/>
          <w:left w:val="none" w:sz="0"/>
          <w:bottom w:val="single" w:color="CBD5E1" w:sz="4"/>
          <w:right w:val="none" w:sz="0"/>
          <w:insideH w:val="single" w:color="E2E8F0" w:sz="4"/>
          <w:insideV w:val="none" w:sz="0"/>
        </w:tblBorders>
      </w:tblPr>
      <w:tblGrid>
        <w:gridCol w:w="2952"/>
        <w:gridCol w:w="4354"/>
        <w:gridCol w:w="2332"/>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Item</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Working figure</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To be replaced by</w:t>
            </w:r>
          </w:p>
        </w:tc>
      </w:tr>
      <w:tr>
        <w:trPr>
          <w:tblHeader w:val="false"/>
        </w:trPr>
        <w:tc>
          <w:tcPr>
            <w:tcW w:type="dxa" w:w="0"/>
            <w:tcMar>
              <w:top w:type="dxa" w:w="60"/>
              <w:left w:type="dxa" w:w="90"/>
              <w:bottom w:type="dxa" w:w="60"/>
              <w:right w:type="dxa" w:w="90"/>
            </w:tcMar>
          </w:tcPr>
          <w:p>
            <w:pPr>
              <w:spacing w:after="0"/>
            </w:pPr>
            <w:r>
              <w:rPr>
                <w:sz w:val="19"/>
                <w:szCs w:val="19"/>
              </w:rPr>
              <w:t xml:space="preserve">Fraud loss per institution</w:t>
            </w:r>
          </w:p>
        </w:tc>
        <w:tc>
          <w:tcPr>
            <w:tcW w:type="dxa" w:w="0"/>
            <w:tcMar>
              <w:top w:type="dxa" w:w="60"/>
              <w:left w:type="dxa" w:w="90"/>
              <w:bottom w:type="dxa" w:w="60"/>
              <w:right w:type="dxa" w:w="90"/>
            </w:tcMar>
          </w:tcPr>
          <w:p>
            <w:pPr>
              <w:spacing w:after="0"/>
            </w:pPr>
            <w:r>
              <w:rPr>
                <w:sz w:val="19"/>
                <w:szCs w:val="19"/>
              </w:rPr>
              <w:t xml:space="preserve">2–5% of portfolio; median SACCO in sample ≈ UGX 500 million portfolio → UGX 10–25 million/yr</w:t>
            </w:r>
          </w:p>
        </w:tc>
        <w:tc>
          <w:tcPr>
            <w:tcW w:type="dxa" w:w="0"/>
            <w:tcMar>
              <w:top w:type="dxa" w:w="60"/>
              <w:left w:type="dxa" w:w="90"/>
              <w:bottom w:type="dxa" w:w="60"/>
              <w:right w:type="dxa" w:w="90"/>
            </w:tcMar>
          </w:tcPr>
          <w:p>
            <w:pPr>
              <w:spacing w:after="0"/>
            </w:pPr>
            <w:r>
              <w:rPr>
                <w:sz w:val="19"/>
                <w:szCs w:val="19"/>
              </w:rPr>
              <w:t xml:space="preserve">Stage 0 baselines; pilot baseline</w:t>
            </w:r>
          </w:p>
        </w:tc>
      </w:tr>
      <w:tr>
        <w:trPr>
          <w:tblHeader w:val="false"/>
        </w:trPr>
        <w:tc>
          <w:tcPr>
            <w:tcW w:type="dxa" w:w="0"/>
            <w:tcMar>
              <w:top w:type="dxa" w:w="60"/>
              <w:left w:type="dxa" w:w="90"/>
              <w:bottom w:type="dxa" w:w="60"/>
              <w:right w:type="dxa" w:w="90"/>
            </w:tcMar>
          </w:tcPr>
          <w:p>
            <w:pPr>
              <w:spacing w:after="0"/>
            </w:pPr>
            <w:r>
              <w:rPr>
                <w:sz w:val="19"/>
                <w:szCs w:val="19"/>
              </w:rPr>
              <w:t xml:space="preserve">Intervention cost per institution per year (pilot, fully loaded)</w:t>
            </w:r>
          </w:p>
        </w:tc>
        <w:tc>
          <w:tcPr>
            <w:tcW w:type="dxa" w:w="0"/>
            <w:tcMar>
              <w:top w:type="dxa" w:w="60"/>
              <w:left w:type="dxa" w:w="90"/>
              <w:bottom w:type="dxa" w:w="60"/>
              <w:right w:type="dxa" w:w="90"/>
            </w:tcMar>
          </w:tcPr>
          <w:p>
            <w:pPr>
              <w:spacing w:after="0"/>
            </w:pPr>
            <w:r>
              <w:rPr>
                <w:sz w:val="19"/>
                <w:szCs w:val="19"/>
              </w:rPr>
              <w:t xml:space="preserve">≈ €1,900 (≈ UGX 8 million) including onboarding; ≈ €700 recurring</w:t>
            </w:r>
          </w:p>
        </w:tc>
        <w:tc>
          <w:tcPr>
            <w:tcW w:type="dxa" w:w="0"/>
            <w:tcMar>
              <w:top w:type="dxa" w:w="60"/>
              <w:left w:type="dxa" w:w="90"/>
              <w:bottom w:type="dxa" w:w="60"/>
              <w:right w:type="dxa" w:w="90"/>
            </w:tcMar>
          </w:tcPr>
          <w:p>
            <w:pPr>
              <w:spacing w:after="0"/>
            </w:pPr>
            <w:r>
              <w:rPr>
                <w:sz w:val="19"/>
                <w:szCs w:val="19"/>
              </w:rPr>
              <w:t xml:space="preserve">Actual pilot costs</w:t>
            </w:r>
          </w:p>
        </w:tc>
      </w:tr>
      <w:tr>
        <w:trPr>
          <w:tblHeader w:val="false"/>
        </w:trPr>
        <w:tc>
          <w:tcPr>
            <w:tcW w:type="dxa" w:w="0"/>
            <w:tcMar>
              <w:top w:type="dxa" w:w="60"/>
              <w:left w:type="dxa" w:w="90"/>
              <w:bottom w:type="dxa" w:w="60"/>
              <w:right w:type="dxa" w:w="90"/>
            </w:tcMar>
          </w:tcPr>
          <w:p>
            <w:pPr>
              <w:spacing w:after="0"/>
            </w:pPr>
            <w:r>
              <w:rPr>
                <w:sz w:val="19"/>
                <w:szCs w:val="19"/>
              </w:rPr>
              <w:t xml:space="preserve">Break-even</w:t>
            </w:r>
          </w:p>
        </w:tc>
        <w:tc>
          <w:tcPr>
            <w:tcW w:type="dxa" w:w="0"/>
            <w:tcMar>
              <w:top w:type="dxa" w:w="60"/>
              <w:left w:type="dxa" w:w="90"/>
              <w:bottom w:type="dxa" w:w="60"/>
              <w:right w:type="dxa" w:w="90"/>
            </w:tcMar>
          </w:tcPr>
          <w:p>
            <w:pPr>
              <w:spacing w:after="0"/>
            </w:pPr>
            <w:r>
              <w:rPr>
                <w:sz w:val="19"/>
                <w:szCs w:val="19"/>
              </w:rPr>
              <w:t xml:space="preserve">Preventing 30–40% of median losses covers the recurring cost several times over</w:t>
            </w:r>
          </w:p>
        </w:tc>
        <w:tc>
          <w:tcPr>
            <w:tcW w:type="dxa" w:w="0"/>
            <w:tcMar>
              <w:top w:type="dxa" w:w="60"/>
              <w:left w:type="dxa" w:w="90"/>
              <w:bottom w:type="dxa" w:w="60"/>
              <w:right w:type="dxa" w:w="90"/>
            </w:tcMar>
          </w:tcPr>
          <w:p>
            <w:pPr>
              <w:spacing w:after="0"/>
            </w:pPr>
            <w:r>
              <w:rPr>
                <w:sz w:val="19"/>
                <w:szCs w:val="19"/>
              </w:rPr>
              <w:t xml:space="preserve">Measured loss reduction</w:t>
            </w:r>
          </w:p>
        </w:tc>
      </w:tr>
      <w:tr>
        <w:trPr>
          <w:tblHeader w:val="false"/>
        </w:trPr>
        <w:tc>
          <w:tcPr>
            <w:tcW w:type="dxa" w:w="0"/>
            <w:tcMar>
              <w:top w:type="dxa" w:w="60"/>
              <w:left w:type="dxa" w:w="90"/>
              <w:bottom w:type="dxa" w:w="60"/>
              <w:right w:type="dxa" w:w="90"/>
            </w:tcMar>
          </w:tcPr>
          <w:p>
            <w:pPr>
              <w:spacing w:after="0"/>
            </w:pPr>
            <w:r>
              <w:rPr>
                <w:sz w:val="19"/>
                <w:szCs w:val="19"/>
              </w:rPr>
              <w:t xml:space="preserve">Comparator</w:t>
            </w:r>
          </w:p>
        </w:tc>
        <w:tc>
          <w:tcPr>
            <w:tcW w:type="dxa" w:w="0"/>
            <w:tcMar>
              <w:top w:type="dxa" w:w="60"/>
              <w:left w:type="dxa" w:w="90"/>
              <w:bottom w:type="dxa" w:w="60"/>
              <w:right w:type="dxa" w:w="90"/>
            </w:tcMar>
          </w:tcPr>
          <w:p>
            <w:pPr>
              <w:spacing w:after="0"/>
            </w:pPr>
            <w:r>
              <w:rPr>
                <w:sz w:val="19"/>
                <w:szCs w:val="19"/>
              </w:rPr>
              <w:t xml:space="preserve">Manual internal audit: 5–10% loan coverage; external audit ≈ UGX 3–8 million/yr for a small SACCO with ~3% fraud detection</w:t>
            </w:r>
          </w:p>
        </w:tc>
        <w:tc>
          <w:tcPr>
            <w:tcW w:type="dxa" w:w="0"/>
            <w:tcMar>
              <w:top w:type="dxa" w:w="60"/>
              <w:left w:type="dxa" w:w="90"/>
              <w:bottom w:type="dxa" w:w="60"/>
              <w:right w:type="dxa" w:w="90"/>
            </w:tcMar>
          </w:tcPr>
          <w:p>
            <w:pPr>
              <w:spacing w:after="0"/>
            </w:pPr>
            <w:r>
              <w:rPr>
                <w:rFonts w:ascii="Consolas" w:cs="Consolas" w:eastAsia="Consolas" w:hAnsi="Consolas"/>
                <w:sz w:val="19"/>
                <w:szCs w:val="19"/>
                <w:shd w:fill="F1F5F9" w:val="clear"/>
              </w:rPr>
              <w:t xml:space="preserve">[TBC: audit-cost survey]</w:t>
            </w:r>
          </w:p>
        </w:tc>
      </w:tr>
      <w:tr>
        <w:trPr>
          <w:tblHeader w:val="false"/>
        </w:trPr>
        <w:tc>
          <w:tcPr>
            <w:tcW w:type="dxa" w:w="0"/>
            <w:tcMar>
              <w:top w:type="dxa" w:w="60"/>
              <w:left w:type="dxa" w:w="90"/>
              <w:bottom w:type="dxa" w:w="60"/>
              <w:right w:type="dxa" w:w="90"/>
            </w:tcMar>
          </w:tcPr>
          <w:p>
            <w:pPr>
              <w:spacing w:after="0"/>
            </w:pPr>
            <w:r>
              <w:rPr>
                <w:sz w:val="19"/>
                <w:szCs w:val="19"/>
              </w:rPr>
              <w:t xml:space="preserve">Metrics to report</w:t>
            </w:r>
          </w:p>
        </w:tc>
        <w:tc>
          <w:tcPr>
            <w:tcW w:type="dxa" w:w="0"/>
            <w:tcMar>
              <w:top w:type="dxa" w:w="60"/>
              <w:left w:type="dxa" w:w="90"/>
              <w:bottom w:type="dxa" w:w="60"/>
              <w:right w:type="dxa" w:w="90"/>
            </w:tcMar>
          </w:tcPr>
          <w:p>
            <w:pPr>
              <w:spacing w:after="0"/>
            </w:pPr>
            <w:r>
              <w:rPr>
                <w:sz w:val="19"/>
                <w:szCs w:val="19"/>
              </w:rPr>
              <w:t xml:space="preserve">Cost per institution-year; cost per confirmed case; cost per UGX 1 million of loss averted; cost per member protected</w:t>
            </w:r>
          </w:p>
        </w:tc>
        <w:tc>
          <w:tcPr>
            <w:tcW w:type="dxa" w:w="0"/>
            <w:tcMar>
              <w:top w:type="dxa" w:w="60"/>
              <w:left w:type="dxa" w:w="90"/>
              <w:bottom w:type="dxa" w:w="60"/>
              <w:right w:type="dxa" w:w="90"/>
            </w:tcMar>
          </w:tcPr>
          <w:p>
            <w:pPr>
              <w:spacing w:after="0"/>
            </w:pPr>
            <w:r>
              <w:rPr>
                <w:sz w:val="19"/>
                <w:szCs w:val="19"/>
              </w:rPr>
              <w:t xml:space="preserve">Endline analysis</w:t>
            </w:r>
          </w:p>
        </w:tc>
      </w:tr>
    </w:tbl>
    <w:p>
      <w:pPr>
        <w:spacing w:after="120"/>
      </w:pPr>
    </w:p>
    <w:p>
      <w:pPr>
        <w:pBdr>
          <w:bottom w:val="single" w:color="CBD5E1" w:sz="6" w:space="1"/>
        </w:pBdr>
        <w:spacing w:after="160"/>
      </w:pPr>
    </w:p>
    <w:p>
      <w:pPr>
        <w:pStyle w:val="Heading1"/>
        <w:spacing w:after="140" w:before="320"/>
      </w:pPr>
      <w:r>
        <w:rPr>
          <w:b/>
          <w:bCs/>
          <w:color w:val="0F766E"/>
          <w:sz w:val="28"/>
          <w:szCs w:val="28"/>
        </w:rPr>
        <w:t xml:space="preserve">10. Team, partners and governance</w:t>
      </w:r>
    </w:p>
    <w:tbl>
      <w:tblPr>
        <w:tblW w:type="dxa" w:w="9638"/>
        <w:tblBorders>
          <w:top w:val="single" w:color="CBD5E1" w:sz="4"/>
          <w:left w:val="none" w:sz="0"/>
          <w:bottom w:val="single" w:color="CBD5E1" w:sz="4"/>
          <w:right w:val="none" w:sz="0"/>
          <w:insideH w:val="single" w:color="E2E8F0" w:sz="4"/>
          <w:insideV w:val="none" w:sz="0"/>
        </w:tblBorders>
      </w:tblPr>
      <w:tblGrid>
        <w:gridCol w:w="1977"/>
        <w:gridCol w:w="2881"/>
        <w:gridCol w:w="2894"/>
        <w:gridCol w:w="1886"/>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Role</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Who</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Responsibilities</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Status</w:t>
            </w:r>
          </w:p>
        </w:tc>
      </w:tr>
      <w:tr>
        <w:trPr>
          <w:tblHeader w:val="false"/>
        </w:trPr>
        <w:tc>
          <w:tcPr>
            <w:tcW w:type="dxa" w:w="0"/>
            <w:tcMar>
              <w:top w:type="dxa" w:w="60"/>
              <w:left w:type="dxa" w:w="90"/>
              <w:bottom w:type="dxa" w:w="60"/>
              <w:right w:type="dxa" w:w="90"/>
            </w:tcMar>
          </w:tcPr>
          <w:p>
            <w:pPr>
              <w:spacing w:after="0"/>
            </w:pPr>
            <w:r>
              <w:rPr>
                <w:sz w:val="19"/>
                <w:szCs w:val="19"/>
              </w:rPr>
              <w:t xml:space="preserve">Principal Investigator / project lead</w:t>
            </w:r>
          </w:p>
        </w:tc>
        <w:tc>
          <w:tcPr>
            <w:tcW w:type="dxa" w:w="0"/>
            <w:tcMar>
              <w:top w:type="dxa" w:w="60"/>
              <w:left w:type="dxa" w:w="90"/>
              <w:bottom w:type="dxa" w:w="60"/>
              <w:right w:type="dxa" w:w="90"/>
            </w:tcMar>
          </w:tcPr>
          <w:p>
            <w:pPr>
              <w:spacing w:after="0"/>
            </w:pPr>
            <w:r>
              <w:rPr>
                <w:sz w:val="19"/>
                <w:szCs w:val="19"/>
              </w:rPr>
              <w:t xml:space="preserve">Raymond R. Wayesu (MSc Statistics, Linköping; Data Analytics Lead, UVRI; author of FedFraudShield paper)</w:t>
            </w:r>
          </w:p>
        </w:tc>
        <w:tc>
          <w:tcPr>
            <w:tcW w:type="dxa" w:w="0"/>
            <w:tcMar>
              <w:top w:type="dxa" w:w="60"/>
              <w:left w:type="dxa" w:w="90"/>
              <w:bottom w:type="dxa" w:w="60"/>
              <w:right w:type="dxa" w:w="90"/>
            </w:tcMar>
          </w:tcPr>
          <w:p>
            <w:pPr>
              <w:spacing w:after="0"/>
            </w:pPr>
            <w:r>
              <w:rPr>
                <w:sz w:val="19"/>
                <w:szCs w:val="19"/>
              </w:rPr>
              <w:t xml:space="preserve">Overall delivery, detection engine, federation hub</w:t>
            </w:r>
          </w:p>
        </w:tc>
        <w:tc>
          <w:tcPr>
            <w:tcW w:type="dxa" w:w="0"/>
            <w:tcMar>
              <w:top w:type="dxa" w:w="60"/>
              <w:left w:type="dxa" w:w="90"/>
              <w:bottom w:type="dxa" w:w="60"/>
              <w:right w:type="dxa" w:w="90"/>
            </w:tcMar>
          </w:tcPr>
          <w:p>
            <w:pPr>
              <w:spacing w:after="0"/>
            </w:pPr>
            <w:r>
              <w:rPr>
                <w:sz w:val="19"/>
                <w:szCs w:val="19"/>
              </w:rPr>
              <w:t xml:space="preserve">Confirmed</w:t>
            </w:r>
          </w:p>
        </w:tc>
      </w:tr>
      <w:tr>
        <w:trPr>
          <w:tblHeader w:val="false"/>
        </w:trPr>
        <w:tc>
          <w:tcPr>
            <w:tcW w:type="dxa" w:w="0"/>
            <w:tcMar>
              <w:top w:type="dxa" w:w="60"/>
              <w:left w:type="dxa" w:w="90"/>
              <w:bottom w:type="dxa" w:w="60"/>
              <w:right w:type="dxa" w:w="90"/>
            </w:tcMar>
          </w:tcPr>
          <w:p>
            <w:pPr>
              <w:spacing w:after="0"/>
            </w:pPr>
            <w:r>
              <w:rPr>
                <w:sz w:val="19"/>
                <w:szCs w:val="19"/>
              </w:rPr>
              <w:t xml:space="preserve">Legal applicant</w:t>
            </w:r>
          </w:p>
        </w:tc>
        <w:tc>
          <w:tcPr>
            <w:tcW w:type="dxa" w:w="0"/>
            <w:tcMar>
              <w:top w:type="dxa" w:w="60"/>
              <w:left w:type="dxa" w:w="90"/>
              <w:bottom w:type="dxa" w:w="60"/>
              <w:right w:type="dxa" w:w="90"/>
            </w:tcMar>
          </w:tcPr>
          <w:p>
            <w:pPr>
              <w:spacing w:after="0"/>
            </w:pPr>
            <w:r>
              <w:rPr>
                <w:sz w:val="19"/>
                <w:szCs w:val="19"/>
              </w:rPr>
              <w:t xml:space="preserve">FraudShield Uganda </w:t>
            </w:r>
            <w:r>
              <w:rPr>
                <w:rFonts w:ascii="Consolas" w:cs="Consolas" w:eastAsia="Consolas" w:hAnsi="Consolas"/>
                <w:sz w:val="19"/>
                <w:szCs w:val="19"/>
                <w:shd w:fill="F1F5F9" w:val="clear"/>
              </w:rPr>
              <w:t xml:space="preserve">[TBC: entity, registration, bank account, audited accounts if required]</w:t>
            </w:r>
          </w:p>
        </w:tc>
        <w:tc>
          <w:tcPr>
            <w:tcW w:type="dxa" w:w="0"/>
            <w:tcMar>
              <w:top w:type="dxa" w:w="60"/>
              <w:left w:type="dxa" w:w="90"/>
              <w:bottom w:type="dxa" w:w="60"/>
              <w:right w:type="dxa" w:w="90"/>
            </w:tcMar>
          </w:tcPr>
          <w:p>
            <w:pPr>
              <w:spacing w:after="0"/>
            </w:pPr>
            <w:r>
              <w:rPr>
                <w:sz w:val="19"/>
                <w:szCs w:val="19"/>
              </w:rPr>
              <w:t xml:space="preserve">Grant holder</w:t>
            </w:r>
          </w:p>
        </w:tc>
        <w:tc>
          <w:tcPr>
            <w:tcW w:type="dxa" w:w="0"/>
            <w:tcMar>
              <w:top w:type="dxa" w:w="60"/>
              <w:left w:type="dxa" w:w="90"/>
              <w:bottom w:type="dxa" w:w="60"/>
              <w:right w:type="dxa" w:w="90"/>
            </w:tcMar>
          </w:tcPr>
          <w:p>
            <w:pPr>
              <w:spacing w:after="0"/>
            </w:pPr>
            <w:r>
              <w:rPr>
                <w:b/>
                <w:bCs/>
                <w:sz w:val="19"/>
                <w:szCs w:val="19"/>
              </w:rPr>
              <w:t xml:space="preserve">Must confirm — FID does not fund individuals</w:t>
            </w:r>
          </w:p>
        </w:tc>
      </w:tr>
      <w:tr>
        <w:trPr>
          <w:tblHeader w:val="false"/>
        </w:trPr>
        <w:tc>
          <w:tcPr>
            <w:tcW w:type="dxa" w:w="0"/>
            <w:tcMar>
              <w:top w:type="dxa" w:w="60"/>
              <w:left w:type="dxa" w:w="90"/>
              <w:bottom w:type="dxa" w:w="60"/>
              <w:right w:type="dxa" w:w="90"/>
            </w:tcMar>
          </w:tcPr>
          <w:p>
            <w:pPr>
              <w:spacing w:after="0"/>
            </w:pPr>
            <w:r>
              <w:rPr>
                <w:sz w:val="19"/>
                <w:szCs w:val="19"/>
              </w:rPr>
              <w:t xml:space="preserve">Research partner (co-PI for evaluation)</w:t>
            </w:r>
          </w:p>
        </w:tc>
        <w:tc>
          <w:tcPr>
            <w:tcW w:type="dxa" w:w="0"/>
            <w:tcMar>
              <w:top w:type="dxa" w:w="60"/>
              <w:left w:type="dxa" w:w="90"/>
              <w:bottom w:type="dxa" w:w="60"/>
              <w:right w:type="dxa" w:w="90"/>
            </w:tcMar>
          </w:tcPr>
          <w:p>
            <w:pPr>
              <w:spacing w:after="0"/>
            </w:pPr>
            <w:r>
              <w:rPr>
                <w:rFonts w:ascii="Consolas" w:cs="Consolas" w:eastAsia="Consolas" w:hAnsi="Consolas"/>
                <w:sz w:val="19"/>
                <w:szCs w:val="19"/>
                <w:shd w:fill="F1F5F9" w:val="clear"/>
              </w:rPr>
              <w:t xml:space="preserve">[TBC]</w:t>
            </w:r>
            <w:r>
              <w:rPr>
                <w:sz w:val="19"/>
                <w:szCs w:val="19"/>
              </w:rPr>
              <w:t xml:space="preserve"> — candidates: Makerere University Dept. of Computer Science; a J-PAL-affiliated economist; IPA Uganda</w:t>
            </w:r>
          </w:p>
        </w:tc>
        <w:tc>
          <w:tcPr>
            <w:tcW w:type="dxa" w:w="0"/>
            <w:tcMar>
              <w:top w:type="dxa" w:w="60"/>
              <w:left w:type="dxa" w:w="90"/>
              <w:bottom w:type="dxa" w:w="60"/>
              <w:right w:type="dxa" w:w="90"/>
            </w:tcMar>
          </w:tcPr>
          <w:p>
            <w:pPr>
              <w:spacing w:after="0"/>
            </w:pPr>
            <w:r>
              <w:rPr>
                <w:sz w:val="19"/>
                <w:szCs w:val="19"/>
              </w:rPr>
              <w:t xml:space="preserve">Randomisation, pre-registration, evaluation analysis, publication</w:t>
            </w:r>
          </w:p>
        </w:tc>
        <w:tc>
          <w:tcPr>
            <w:tcW w:type="dxa" w:w="0"/>
            <w:tcMar>
              <w:top w:type="dxa" w:w="60"/>
              <w:left w:type="dxa" w:w="90"/>
              <w:bottom w:type="dxa" w:w="60"/>
              <w:right w:type="dxa" w:w="90"/>
            </w:tcMar>
          </w:tcPr>
          <w:p>
            <w:pPr>
              <w:spacing w:after="0"/>
            </w:pPr>
            <w:r>
              <w:rPr>
                <w:sz w:val="19"/>
                <w:szCs w:val="19"/>
              </w:rPr>
              <w:t xml:space="preserve">To be secured in Stage 0</w:t>
            </w:r>
          </w:p>
        </w:tc>
      </w:tr>
      <w:tr>
        <w:trPr>
          <w:tblHeader w:val="false"/>
        </w:trPr>
        <w:tc>
          <w:tcPr>
            <w:tcW w:type="dxa" w:w="0"/>
            <w:tcMar>
              <w:top w:type="dxa" w:w="60"/>
              <w:left w:type="dxa" w:w="90"/>
              <w:bottom w:type="dxa" w:w="60"/>
              <w:right w:type="dxa" w:w="90"/>
            </w:tcMar>
          </w:tcPr>
          <w:p>
            <w:pPr>
              <w:spacing w:after="0"/>
            </w:pPr>
            <w:r>
              <w:rPr>
                <w:sz w:val="19"/>
                <w:szCs w:val="19"/>
              </w:rPr>
              <w:t xml:space="preserve">Field team</w:t>
            </w:r>
          </w:p>
        </w:tc>
        <w:tc>
          <w:tcPr>
            <w:tcW w:type="dxa" w:w="0"/>
            <w:tcMar>
              <w:top w:type="dxa" w:w="60"/>
              <w:left w:type="dxa" w:w="90"/>
              <w:bottom w:type="dxa" w:w="60"/>
              <w:right w:type="dxa" w:w="90"/>
            </w:tcMar>
          </w:tcPr>
          <w:p>
            <w:pPr>
              <w:spacing w:after="0"/>
            </w:pPr>
            <w:r>
              <w:rPr>
                <w:sz w:val="19"/>
                <w:szCs w:val="19"/>
              </w:rPr>
              <w:t xml:space="preserve">1 field coordinator (Kampala) + 4 regional field officers (0.5 FTE each)</w:t>
            </w:r>
          </w:p>
        </w:tc>
        <w:tc>
          <w:tcPr>
            <w:tcW w:type="dxa" w:w="0"/>
            <w:tcMar>
              <w:top w:type="dxa" w:w="60"/>
              <w:left w:type="dxa" w:w="90"/>
              <w:bottom w:type="dxa" w:w="60"/>
              <w:right w:type="dxa" w:w="90"/>
            </w:tcMar>
          </w:tcPr>
          <w:p>
            <w:pPr>
              <w:spacing w:after="0"/>
            </w:pPr>
            <w:r>
              <w:rPr>
                <w:sz w:val="19"/>
                <w:szCs w:val="19"/>
              </w:rPr>
              <w:t xml:space="preserve">Recruitment, onboarding, training, case-tracker collection</w:t>
            </w:r>
          </w:p>
        </w:tc>
        <w:tc>
          <w:tcPr>
            <w:tcW w:type="dxa" w:w="0"/>
            <w:tcMar>
              <w:top w:type="dxa" w:w="60"/>
              <w:left w:type="dxa" w:w="90"/>
              <w:bottom w:type="dxa" w:w="60"/>
              <w:right w:type="dxa" w:w="90"/>
            </w:tcMar>
          </w:tcPr>
          <w:p>
            <w:pPr>
              <w:spacing w:after="0"/>
            </w:pPr>
            <w:r>
              <w:rPr>
                <w:sz w:val="19"/>
                <w:szCs w:val="19"/>
              </w:rPr>
              <w:t xml:space="preserve">To recruit</w:t>
            </w:r>
          </w:p>
        </w:tc>
      </w:tr>
      <w:tr>
        <w:trPr>
          <w:tblHeader w:val="false"/>
        </w:trPr>
        <w:tc>
          <w:tcPr>
            <w:tcW w:type="dxa" w:w="0"/>
            <w:tcMar>
              <w:top w:type="dxa" w:w="60"/>
              <w:left w:type="dxa" w:w="90"/>
              <w:bottom w:type="dxa" w:w="60"/>
              <w:right w:type="dxa" w:w="90"/>
            </w:tcMar>
          </w:tcPr>
          <w:p>
            <w:pPr>
              <w:spacing w:after="0"/>
            </w:pPr>
            <w:r>
              <w:rPr>
                <w:sz w:val="19"/>
                <w:szCs w:val="19"/>
              </w:rPr>
              <w:t xml:space="preserve">Engineering</w:t>
            </w:r>
          </w:p>
        </w:tc>
        <w:tc>
          <w:tcPr>
            <w:tcW w:type="dxa" w:w="0"/>
            <w:tcMar>
              <w:top w:type="dxa" w:w="60"/>
              <w:left w:type="dxa" w:w="90"/>
              <w:bottom w:type="dxa" w:w="60"/>
              <w:right w:type="dxa" w:w="90"/>
            </w:tcMar>
          </w:tcPr>
          <w:p>
            <w:pPr>
              <w:spacing w:after="0"/>
            </w:pPr>
            <w:r>
              <w:rPr>
                <w:sz w:val="19"/>
                <w:szCs w:val="19"/>
              </w:rPr>
              <w:t xml:space="preserve">1 ML/backend engineer (1.0 FTE), 1 support engineer (0.5 FTE)</w:t>
            </w:r>
          </w:p>
        </w:tc>
        <w:tc>
          <w:tcPr>
            <w:tcW w:type="dxa" w:w="0"/>
            <w:tcMar>
              <w:top w:type="dxa" w:w="60"/>
              <w:left w:type="dxa" w:w="90"/>
              <w:bottom w:type="dxa" w:w="60"/>
              <w:right w:type="dxa" w:w="90"/>
            </w:tcMar>
          </w:tcPr>
          <w:p>
            <w:pPr>
              <w:spacing w:after="0"/>
            </w:pPr>
            <w:r>
              <w:rPr>
                <w:sz w:val="19"/>
                <w:szCs w:val="19"/>
              </w:rPr>
              <w:t xml:space="preserve">Local nodes, schema mapping, hub operations, help desk</w:t>
            </w:r>
          </w:p>
        </w:tc>
        <w:tc>
          <w:tcPr>
            <w:tcW w:type="dxa" w:w="0"/>
            <w:tcMar>
              <w:top w:type="dxa" w:w="60"/>
              <w:left w:type="dxa" w:w="90"/>
              <w:bottom w:type="dxa" w:w="60"/>
              <w:right w:type="dxa" w:w="90"/>
            </w:tcMar>
          </w:tcPr>
          <w:p>
            <w:pPr>
              <w:spacing w:after="0"/>
            </w:pPr>
            <w:r>
              <w:rPr>
                <w:sz w:val="19"/>
                <w:szCs w:val="19"/>
              </w:rPr>
              <w:t xml:space="preserve">To recruit</w:t>
            </w:r>
          </w:p>
        </w:tc>
      </w:tr>
      <w:tr>
        <w:trPr>
          <w:tblHeader w:val="false"/>
        </w:trPr>
        <w:tc>
          <w:tcPr>
            <w:tcW w:type="dxa" w:w="0"/>
            <w:tcMar>
              <w:top w:type="dxa" w:w="60"/>
              <w:left w:type="dxa" w:w="90"/>
              <w:bottom w:type="dxa" w:w="60"/>
              <w:right w:type="dxa" w:w="90"/>
            </w:tcMar>
          </w:tcPr>
          <w:p>
            <w:pPr>
              <w:spacing w:after="0"/>
            </w:pPr>
            <w:r>
              <w:rPr>
                <w:sz w:val="19"/>
                <w:szCs w:val="19"/>
              </w:rPr>
              <w:t xml:space="preserve">Sector partners</w:t>
            </w:r>
          </w:p>
        </w:tc>
        <w:tc>
          <w:tcPr>
            <w:tcW w:type="dxa" w:w="0"/>
            <w:tcMar>
              <w:top w:type="dxa" w:w="60"/>
              <w:left w:type="dxa" w:w="90"/>
              <w:bottom w:type="dxa" w:w="60"/>
              <w:right w:type="dxa" w:w="90"/>
            </w:tcMar>
          </w:tcPr>
          <w:p>
            <w:pPr>
              <w:spacing w:after="0"/>
            </w:pPr>
            <w:r>
              <w:rPr>
                <w:sz w:val="19"/>
                <w:szCs w:val="19"/>
              </w:rPr>
              <w:t xml:space="preserve">Uganda Cooperative Savings and Credit Union (UCSCU); Uganda Microfinance Regulatory Authority (UMRA)</w:t>
            </w:r>
          </w:p>
        </w:tc>
        <w:tc>
          <w:tcPr>
            <w:tcW w:type="dxa" w:w="0"/>
            <w:tcMar>
              <w:top w:type="dxa" w:w="60"/>
              <w:left w:type="dxa" w:w="90"/>
              <w:bottom w:type="dxa" w:w="60"/>
              <w:right w:type="dxa" w:w="90"/>
            </w:tcMar>
          </w:tcPr>
          <w:p>
            <w:pPr>
              <w:spacing w:after="0"/>
            </w:pPr>
            <w:r>
              <w:rPr>
                <w:sz w:val="19"/>
                <w:szCs w:val="19"/>
              </w:rPr>
              <w:t xml:space="preserve">Recruitment channels; governance workstream; pathway to sector-run hub</w:t>
            </w:r>
          </w:p>
        </w:tc>
        <w:tc>
          <w:tcPr>
            <w:tcW w:type="dxa" w:w="0"/>
            <w:tcMar>
              <w:top w:type="dxa" w:w="60"/>
              <w:left w:type="dxa" w:w="90"/>
              <w:bottom w:type="dxa" w:w="60"/>
              <w:right w:type="dxa" w:w="90"/>
            </w:tcMar>
          </w:tcPr>
          <w:p>
            <w:pPr>
              <w:spacing w:after="0"/>
            </w:pPr>
            <w:r>
              <w:rPr>
                <w:rFonts w:ascii="Consolas" w:cs="Consolas" w:eastAsia="Consolas" w:hAnsi="Consolas"/>
                <w:sz w:val="19"/>
                <w:szCs w:val="19"/>
                <w:shd w:fill="F1F5F9" w:val="clear"/>
              </w:rPr>
              <w:t xml:space="preserve">[TBC: letters of support]</w:t>
            </w:r>
          </w:p>
        </w:tc>
      </w:tr>
      <w:tr>
        <w:trPr>
          <w:tblHeader w:val="false"/>
        </w:trPr>
        <w:tc>
          <w:tcPr>
            <w:tcW w:type="dxa" w:w="0"/>
            <w:tcMar>
              <w:top w:type="dxa" w:w="60"/>
              <w:left w:type="dxa" w:w="90"/>
              <w:bottom w:type="dxa" w:w="60"/>
              <w:right w:type="dxa" w:w="90"/>
            </w:tcMar>
          </w:tcPr>
          <w:p>
            <w:pPr>
              <w:spacing w:after="0"/>
            </w:pPr>
            <w:r>
              <w:rPr>
                <w:sz w:val="19"/>
                <w:szCs w:val="19"/>
              </w:rPr>
              <w:t xml:space="preserve">Advisory group</w:t>
            </w:r>
          </w:p>
        </w:tc>
        <w:tc>
          <w:tcPr>
            <w:tcW w:type="dxa" w:w="0"/>
            <w:tcMar>
              <w:top w:type="dxa" w:w="60"/>
              <w:left w:type="dxa" w:w="90"/>
              <w:bottom w:type="dxa" w:w="60"/>
              <w:right w:type="dxa" w:w="90"/>
            </w:tcMar>
          </w:tcPr>
          <w:p>
            <w:pPr>
              <w:spacing w:after="0"/>
            </w:pPr>
            <w:r>
              <w:rPr>
                <w:sz w:val="19"/>
                <w:szCs w:val="19"/>
              </w:rPr>
              <w:t xml:space="preserve">Representatives of UMRA, UCSCU, 2 pilot SACCO boards, research partner, a data-protection lawyer</w:t>
            </w:r>
          </w:p>
        </w:tc>
        <w:tc>
          <w:tcPr>
            <w:tcW w:type="dxa" w:w="0"/>
            <w:tcMar>
              <w:top w:type="dxa" w:w="60"/>
              <w:left w:type="dxa" w:w="90"/>
              <w:bottom w:type="dxa" w:w="60"/>
              <w:right w:type="dxa" w:w="90"/>
            </w:tcMar>
          </w:tcPr>
          <w:p>
            <w:pPr>
              <w:spacing w:after="0"/>
            </w:pPr>
            <w:r>
              <w:rPr>
                <w:sz w:val="19"/>
                <w:szCs w:val="19"/>
              </w:rPr>
              <w:t xml:space="preserve">Quarterly review; ethics and fairness oversight</w:t>
            </w:r>
          </w:p>
        </w:tc>
        <w:tc>
          <w:tcPr>
            <w:tcW w:type="dxa" w:w="0"/>
            <w:tcMar>
              <w:top w:type="dxa" w:w="60"/>
              <w:left w:type="dxa" w:w="90"/>
              <w:bottom w:type="dxa" w:w="60"/>
              <w:right w:type="dxa" w:w="90"/>
            </w:tcMar>
          </w:tcPr>
          <w:p>
            <w:pPr>
              <w:spacing w:after="0"/>
            </w:pPr>
            <w:r>
              <w:rPr>
                <w:sz w:val="19"/>
                <w:szCs w:val="19"/>
              </w:rPr>
              <w:t xml:space="preserve">To convene month 1</w:t>
            </w:r>
          </w:p>
        </w:tc>
      </w:tr>
    </w:tbl>
    <w:p>
      <w:pPr>
        <w:spacing w:after="120"/>
      </w:pPr>
    </w:p>
    <w:p>
      <w:pPr>
        <w:spacing w:after="120"/>
      </w:pPr>
      <w:r>
        <w:rPr>
          <w:b/>
          <w:bCs/>
        </w:rPr>
        <w:t xml:space="preserve">Governance:</w:t>
      </w:r>
      <w:r>
        <w:t xml:space="preserve"> monthly project management meeting; quarterly advisory group; quarterly narrative and financial report to FID; independent evaluation analysis owned by the research partner with publication rights.</w:t>
      </w:r>
    </w:p>
    <w:p>
      <w:pPr>
        <w:pBdr>
          <w:bottom w:val="single" w:color="CBD5E1" w:sz="6" w:space="1"/>
        </w:pBdr>
        <w:spacing w:after="160"/>
      </w:pPr>
    </w:p>
    <w:p>
      <w:pPr>
        <w:pStyle w:val="Heading1"/>
        <w:spacing w:after="140" w:before="320"/>
      </w:pPr>
      <w:r>
        <w:rPr>
          <w:b/>
          <w:bCs/>
          <w:color w:val="0F766E"/>
          <w:sz w:val="28"/>
          <w:szCs w:val="28"/>
        </w:rPr>
        <w:t xml:space="preserve">11. Budget (18 months) — indicative, EUR</w:t>
      </w:r>
    </w:p>
    <w:tbl>
      <w:tblPr>
        <w:tblW w:type="dxa" w:w="9638"/>
        <w:tblBorders>
          <w:top w:val="single" w:color="CBD5E1" w:sz="4"/>
          <w:left w:val="none" w:sz="0"/>
          <w:bottom w:val="single" w:color="CBD5E1" w:sz="4"/>
          <w:right w:val="none" w:sz="0"/>
          <w:insideH w:val="single" w:color="E2E8F0" w:sz="4"/>
          <w:insideV w:val="none" w:sz="0"/>
        </w:tblBorders>
      </w:tblPr>
      <w:tblGrid>
        <w:gridCol w:w="5761"/>
        <w:gridCol w:w="1526"/>
        <w:gridCol w:w="2351"/>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Line</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Amount</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Basis</w:t>
            </w:r>
          </w:p>
        </w:tc>
      </w:tr>
      <w:tr>
        <w:trPr>
          <w:tblHeader w:val="false"/>
        </w:trPr>
        <w:tc>
          <w:tcPr>
            <w:tcW w:type="dxa" w:w="0"/>
            <w:tcMar>
              <w:top w:type="dxa" w:w="60"/>
              <w:left w:type="dxa" w:w="90"/>
              <w:bottom w:type="dxa" w:w="60"/>
              <w:right w:type="dxa" w:w="90"/>
            </w:tcMar>
          </w:tcPr>
          <w:p>
            <w:pPr>
              <w:spacing w:after="0"/>
            </w:pPr>
            <w:r>
              <w:rPr>
                <w:b/>
                <w:bCs/>
                <w:sz w:val="19"/>
                <w:szCs w:val="19"/>
              </w:rPr>
              <w:t xml:space="preserve">Personnel</w:t>
            </w:r>
          </w:p>
        </w:tc>
        <w:tc>
          <w:tcPr>
            <w:tcW w:type="dxa" w:w="0"/>
            <w:tcMar>
              <w:top w:type="dxa" w:w="60"/>
              <w:left w:type="dxa" w:w="90"/>
              <w:bottom w:type="dxa" w:w="60"/>
              <w:right w:type="dxa" w:w="90"/>
            </w:tcMar>
          </w:tcPr>
          <w:p>
            <w:pPr>
              <w:spacing w:after="0"/>
            </w:pP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Project lead (0.6 FTE × 18 mo)</w:t>
            </w:r>
          </w:p>
        </w:tc>
        <w:tc>
          <w:tcPr>
            <w:tcW w:type="dxa" w:w="0"/>
            <w:tcMar>
              <w:top w:type="dxa" w:w="60"/>
              <w:left w:type="dxa" w:w="90"/>
              <w:bottom w:type="dxa" w:w="60"/>
              <w:right w:type="dxa" w:w="90"/>
            </w:tcMar>
          </w:tcPr>
          <w:p>
            <w:pPr>
              <w:spacing w:after="0"/>
            </w:pPr>
            <w:r>
              <w:rPr>
                <w:sz w:val="19"/>
                <w:szCs w:val="19"/>
              </w:rPr>
              <w:t xml:space="preserve">27,000</w:t>
            </w:r>
          </w:p>
        </w:tc>
        <w:tc>
          <w:tcPr>
            <w:tcW w:type="dxa" w:w="0"/>
            <w:tcMar>
              <w:top w:type="dxa" w:w="60"/>
              <w:left w:type="dxa" w:w="90"/>
              <w:bottom w:type="dxa" w:w="60"/>
              <w:right w:type="dxa" w:w="90"/>
            </w:tcMar>
          </w:tcPr>
          <w:p>
            <w:pPr>
              <w:spacing w:after="0"/>
            </w:pPr>
            <w:r>
              <w:rPr>
                <w:sz w:val="19"/>
                <w:szCs w:val="19"/>
              </w:rPr>
              <w:t xml:space="preserve">Local rate</w:t>
            </w:r>
          </w:p>
        </w:tc>
      </w:tr>
      <w:tr>
        <w:trPr>
          <w:tblHeader w:val="false"/>
        </w:trPr>
        <w:tc>
          <w:tcPr>
            <w:tcW w:type="dxa" w:w="0"/>
            <w:tcMar>
              <w:top w:type="dxa" w:w="60"/>
              <w:left w:type="dxa" w:w="90"/>
              <w:bottom w:type="dxa" w:w="60"/>
              <w:right w:type="dxa" w:w="90"/>
            </w:tcMar>
          </w:tcPr>
          <w:p>
            <w:pPr>
              <w:spacing w:after="0"/>
            </w:pPr>
            <w:r>
              <w:rPr>
                <w:sz w:val="19"/>
                <w:szCs w:val="19"/>
              </w:rPr>
              <w:t xml:space="preserve">ML/backend engineer (1.0 FTE × 18 mo)</w:t>
            </w:r>
          </w:p>
        </w:tc>
        <w:tc>
          <w:tcPr>
            <w:tcW w:type="dxa" w:w="0"/>
            <w:tcMar>
              <w:top w:type="dxa" w:w="60"/>
              <w:left w:type="dxa" w:w="90"/>
              <w:bottom w:type="dxa" w:w="60"/>
              <w:right w:type="dxa" w:w="90"/>
            </w:tcMar>
          </w:tcPr>
          <w:p>
            <w:pPr>
              <w:spacing w:after="0"/>
            </w:pPr>
            <w:r>
              <w:rPr>
                <w:sz w:val="19"/>
                <w:szCs w:val="19"/>
              </w:rPr>
              <w:t xml:space="preserve">27,000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Support engineer (0.5 FTE × 15 mo)</w:t>
            </w:r>
          </w:p>
        </w:tc>
        <w:tc>
          <w:tcPr>
            <w:tcW w:type="dxa" w:w="0"/>
            <w:tcMar>
              <w:top w:type="dxa" w:w="60"/>
              <w:left w:type="dxa" w:w="90"/>
              <w:bottom w:type="dxa" w:w="60"/>
              <w:right w:type="dxa" w:w="90"/>
            </w:tcMar>
          </w:tcPr>
          <w:p>
            <w:pPr>
              <w:spacing w:after="0"/>
            </w:pPr>
            <w:r>
              <w:rPr>
                <w:sz w:val="19"/>
                <w:szCs w:val="19"/>
              </w:rPr>
              <w:t xml:space="preserve">9,000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Field coordinator (1.0 FTE × 18 mo)</w:t>
            </w:r>
          </w:p>
        </w:tc>
        <w:tc>
          <w:tcPr>
            <w:tcW w:type="dxa" w:w="0"/>
            <w:tcMar>
              <w:top w:type="dxa" w:w="60"/>
              <w:left w:type="dxa" w:w="90"/>
              <w:bottom w:type="dxa" w:w="60"/>
              <w:right w:type="dxa" w:w="90"/>
            </w:tcMar>
          </w:tcPr>
          <w:p>
            <w:pPr>
              <w:spacing w:after="0"/>
            </w:pPr>
            <w:r>
              <w:rPr>
                <w:sz w:val="19"/>
                <w:szCs w:val="19"/>
              </w:rPr>
              <w:t xml:space="preserve">16,200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Regional field officers (4 × 0.5 FTE × 15 mo)</w:t>
            </w:r>
          </w:p>
        </w:tc>
        <w:tc>
          <w:tcPr>
            <w:tcW w:type="dxa" w:w="0"/>
            <w:tcMar>
              <w:top w:type="dxa" w:w="60"/>
              <w:left w:type="dxa" w:w="90"/>
              <w:bottom w:type="dxa" w:w="60"/>
              <w:right w:type="dxa" w:w="90"/>
            </w:tcMar>
          </w:tcPr>
          <w:p>
            <w:pPr>
              <w:spacing w:after="0"/>
            </w:pPr>
            <w:r>
              <w:rPr>
                <w:sz w:val="19"/>
                <w:szCs w:val="19"/>
              </w:rPr>
              <w:t xml:space="preserve">24,000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i/>
                <w:iCs/>
                <w:sz w:val="19"/>
                <w:szCs w:val="19"/>
              </w:rPr>
              <w:t xml:space="preserve">Personnel subtotal</w:t>
            </w:r>
          </w:p>
        </w:tc>
        <w:tc>
          <w:tcPr>
            <w:tcW w:type="dxa" w:w="0"/>
            <w:tcMar>
              <w:top w:type="dxa" w:w="60"/>
              <w:left w:type="dxa" w:w="90"/>
              <w:bottom w:type="dxa" w:w="60"/>
              <w:right w:type="dxa" w:w="90"/>
            </w:tcMar>
          </w:tcPr>
          <w:p>
            <w:pPr>
              <w:spacing w:after="0"/>
            </w:pPr>
            <w:r>
              <w:rPr>
                <w:i/>
                <w:iCs/>
                <w:sz w:val="19"/>
                <w:szCs w:val="19"/>
              </w:rPr>
              <w:t xml:space="preserve">103,200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b/>
                <w:bCs/>
                <w:sz w:val="19"/>
                <w:szCs w:val="19"/>
              </w:rPr>
              <w:t xml:space="preserve">Research and evaluation</w:t>
            </w:r>
          </w:p>
        </w:tc>
        <w:tc>
          <w:tcPr>
            <w:tcW w:type="dxa" w:w="0"/>
            <w:tcMar>
              <w:top w:type="dxa" w:w="60"/>
              <w:left w:type="dxa" w:w="90"/>
              <w:bottom w:type="dxa" w:w="60"/>
              <w:right w:type="dxa" w:w="90"/>
            </w:tcMar>
          </w:tcPr>
          <w:p>
            <w:pPr>
              <w:spacing w:after="0"/>
            </w:pP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Research partner sub-grant (design, randomisation, analysis, publication)</w:t>
            </w:r>
          </w:p>
        </w:tc>
        <w:tc>
          <w:tcPr>
            <w:tcW w:type="dxa" w:w="0"/>
            <w:tcMar>
              <w:top w:type="dxa" w:w="60"/>
              <w:left w:type="dxa" w:w="90"/>
              <w:bottom w:type="dxa" w:w="60"/>
              <w:right w:type="dxa" w:w="90"/>
            </w:tcMar>
          </w:tcPr>
          <w:p>
            <w:pPr>
              <w:spacing w:after="0"/>
            </w:pPr>
            <w:r>
              <w:rPr>
                <w:sz w:val="19"/>
                <w:szCs w:val="19"/>
              </w:rPr>
              <w:t xml:space="preserve">28,000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Baseline and endline member surveys (48 × 20 × 2 rounds, enumerators, tablets)</w:t>
            </w:r>
          </w:p>
        </w:tc>
        <w:tc>
          <w:tcPr>
            <w:tcW w:type="dxa" w:w="0"/>
            <w:tcMar>
              <w:top w:type="dxa" w:w="60"/>
              <w:left w:type="dxa" w:w="90"/>
              <w:bottom w:type="dxa" w:w="60"/>
              <w:right w:type="dxa" w:w="90"/>
            </w:tcMar>
          </w:tcPr>
          <w:p>
            <w:pPr>
              <w:spacing w:after="0"/>
            </w:pPr>
            <w:r>
              <w:rPr>
                <w:sz w:val="19"/>
                <w:szCs w:val="19"/>
              </w:rPr>
              <w:t xml:space="preserve">9,600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Ethics review fees, pre-registration, data-protection counsel</w:t>
            </w:r>
          </w:p>
        </w:tc>
        <w:tc>
          <w:tcPr>
            <w:tcW w:type="dxa" w:w="0"/>
            <w:tcMar>
              <w:top w:type="dxa" w:w="60"/>
              <w:left w:type="dxa" w:w="90"/>
              <w:bottom w:type="dxa" w:w="60"/>
              <w:right w:type="dxa" w:w="90"/>
            </w:tcMar>
          </w:tcPr>
          <w:p>
            <w:pPr>
              <w:spacing w:after="0"/>
            </w:pPr>
            <w:r>
              <w:rPr>
                <w:sz w:val="19"/>
                <w:szCs w:val="19"/>
              </w:rPr>
              <w:t xml:space="preserve">3,500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i/>
                <w:iCs/>
                <w:sz w:val="19"/>
                <w:szCs w:val="19"/>
              </w:rPr>
              <w:t xml:space="preserve">Research subtotal</w:t>
            </w:r>
          </w:p>
        </w:tc>
        <w:tc>
          <w:tcPr>
            <w:tcW w:type="dxa" w:w="0"/>
            <w:tcMar>
              <w:top w:type="dxa" w:w="60"/>
              <w:left w:type="dxa" w:w="90"/>
              <w:bottom w:type="dxa" w:w="60"/>
              <w:right w:type="dxa" w:w="90"/>
            </w:tcMar>
          </w:tcPr>
          <w:p>
            <w:pPr>
              <w:spacing w:after="0"/>
            </w:pPr>
            <w:r>
              <w:rPr>
                <w:i/>
                <w:iCs/>
                <w:sz w:val="19"/>
                <w:szCs w:val="19"/>
              </w:rPr>
              <w:t xml:space="preserve">41,100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b/>
                <w:bCs/>
                <w:sz w:val="19"/>
                <w:szCs w:val="19"/>
              </w:rPr>
              <w:t xml:space="preserve">Deployment</w:t>
            </w:r>
          </w:p>
        </w:tc>
        <w:tc>
          <w:tcPr>
            <w:tcW w:type="dxa" w:w="0"/>
            <w:tcMar>
              <w:top w:type="dxa" w:w="60"/>
              <w:left w:type="dxa" w:w="90"/>
              <w:bottom w:type="dxa" w:w="60"/>
              <w:right w:type="dxa" w:w="90"/>
            </w:tcMar>
          </w:tcPr>
          <w:p>
            <w:pPr>
              <w:spacing w:after="0"/>
            </w:pP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Local-node hardware (48 × mini-PC/laptop)</w:t>
            </w:r>
          </w:p>
        </w:tc>
        <w:tc>
          <w:tcPr>
            <w:tcW w:type="dxa" w:w="0"/>
            <w:tcMar>
              <w:top w:type="dxa" w:w="60"/>
              <w:left w:type="dxa" w:w="90"/>
              <w:bottom w:type="dxa" w:w="60"/>
              <w:right w:type="dxa" w:w="90"/>
            </w:tcMar>
          </w:tcPr>
          <w:p>
            <w:pPr>
              <w:spacing w:after="0"/>
            </w:pPr>
            <w:r>
              <w:rPr>
                <w:sz w:val="19"/>
                <w:szCs w:val="19"/>
              </w:rPr>
              <w:t xml:space="preserve">14,400</w:t>
            </w:r>
          </w:p>
        </w:tc>
        <w:tc>
          <w:tcPr>
            <w:tcW w:type="dxa" w:w="0"/>
            <w:tcMar>
              <w:top w:type="dxa" w:w="60"/>
              <w:left w:type="dxa" w:w="90"/>
              <w:bottom w:type="dxa" w:w="60"/>
              <w:right w:type="dxa" w:w="90"/>
            </w:tcMar>
          </w:tcPr>
          <w:p>
            <w:pPr>
              <w:spacing w:after="0"/>
            </w:pPr>
            <w:r>
              <w:rPr>
                <w:sz w:val="19"/>
                <w:szCs w:val="19"/>
              </w:rPr>
              <w:t xml:space="preserve">€300 each</w:t>
            </w:r>
          </w:p>
        </w:tc>
      </w:tr>
      <w:tr>
        <w:trPr>
          <w:tblHeader w:val="false"/>
        </w:trPr>
        <w:tc>
          <w:tcPr>
            <w:tcW w:type="dxa" w:w="0"/>
            <w:tcMar>
              <w:top w:type="dxa" w:w="60"/>
              <w:left w:type="dxa" w:w="90"/>
              <w:bottom w:type="dxa" w:w="60"/>
              <w:right w:type="dxa" w:w="90"/>
            </w:tcMar>
          </w:tcPr>
          <w:p>
            <w:pPr>
              <w:spacing w:after="0"/>
            </w:pPr>
            <w:r>
              <w:rPr>
                <w:sz w:val="19"/>
                <w:szCs w:val="19"/>
              </w:rPr>
              <w:t xml:space="preserve">Connectivity stipends (48 × 15 mo × €4)</w:t>
            </w:r>
          </w:p>
        </w:tc>
        <w:tc>
          <w:tcPr>
            <w:tcW w:type="dxa" w:w="0"/>
            <w:tcMar>
              <w:top w:type="dxa" w:w="60"/>
              <w:left w:type="dxa" w:w="90"/>
              <w:bottom w:type="dxa" w:w="60"/>
              <w:right w:type="dxa" w:w="90"/>
            </w:tcMar>
          </w:tcPr>
          <w:p>
            <w:pPr>
              <w:spacing w:after="0"/>
            </w:pPr>
            <w:r>
              <w:rPr>
                <w:sz w:val="19"/>
                <w:szCs w:val="19"/>
              </w:rPr>
              <w:t xml:space="preserve">2,900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Aggregation server hosting in Uganda, security audit, backups</w:t>
            </w:r>
          </w:p>
        </w:tc>
        <w:tc>
          <w:tcPr>
            <w:tcW w:type="dxa" w:w="0"/>
            <w:tcMar>
              <w:top w:type="dxa" w:w="60"/>
              <w:left w:type="dxa" w:w="90"/>
              <w:bottom w:type="dxa" w:w="60"/>
              <w:right w:type="dxa" w:w="90"/>
            </w:tcMar>
          </w:tcPr>
          <w:p>
            <w:pPr>
              <w:spacing w:after="0"/>
            </w:pPr>
            <w:r>
              <w:rPr>
                <w:sz w:val="19"/>
                <w:szCs w:val="19"/>
              </w:rPr>
              <w:t xml:space="preserve">6,000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SMS/WhatsApp alert gateway</w:t>
            </w:r>
          </w:p>
        </w:tc>
        <w:tc>
          <w:tcPr>
            <w:tcW w:type="dxa" w:w="0"/>
            <w:tcMar>
              <w:top w:type="dxa" w:w="60"/>
              <w:left w:type="dxa" w:w="90"/>
              <w:bottom w:type="dxa" w:w="60"/>
              <w:right w:type="dxa" w:w="90"/>
            </w:tcMar>
          </w:tcPr>
          <w:p>
            <w:pPr>
              <w:spacing w:after="0"/>
            </w:pPr>
            <w:r>
              <w:rPr>
                <w:sz w:val="19"/>
                <w:szCs w:val="19"/>
              </w:rPr>
              <w:t xml:space="preserve">1,500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i/>
                <w:iCs/>
                <w:sz w:val="19"/>
                <w:szCs w:val="19"/>
              </w:rPr>
              <w:t xml:space="preserve">Deployment subtotal</w:t>
            </w:r>
          </w:p>
        </w:tc>
        <w:tc>
          <w:tcPr>
            <w:tcW w:type="dxa" w:w="0"/>
            <w:tcMar>
              <w:top w:type="dxa" w:w="60"/>
              <w:left w:type="dxa" w:w="90"/>
              <w:bottom w:type="dxa" w:w="60"/>
              <w:right w:type="dxa" w:w="90"/>
            </w:tcMar>
          </w:tcPr>
          <w:p>
            <w:pPr>
              <w:spacing w:after="0"/>
            </w:pPr>
            <w:r>
              <w:rPr>
                <w:i/>
                <w:iCs/>
                <w:sz w:val="19"/>
                <w:szCs w:val="19"/>
              </w:rPr>
              <w:t xml:space="preserve">24,800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b/>
                <w:bCs/>
                <w:sz w:val="19"/>
                <w:szCs w:val="19"/>
              </w:rPr>
              <w:t xml:space="preserve">Training and field operations</w:t>
            </w:r>
          </w:p>
        </w:tc>
        <w:tc>
          <w:tcPr>
            <w:tcW w:type="dxa" w:w="0"/>
            <w:tcMar>
              <w:top w:type="dxa" w:w="60"/>
              <w:left w:type="dxa" w:w="90"/>
              <w:bottom w:type="dxa" w:w="60"/>
              <w:right w:type="dxa" w:w="90"/>
            </w:tcMar>
          </w:tcPr>
          <w:p>
            <w:pPr>
              <w:spacing w:after="0"/>
            </w:pP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Regional onboarding workshops (4 × 2 rounds)</w:t>
            </w:r>
          </w:p>
        </w:tc>
        <w:tc>
          <w:tcPr>
            <w:tcW w:type="dxa" w:w="0"/>
            <w:tcMar>
              <w:top w:type="dxa" w:w="60"/>
              <w:left w:type="dxa" w:w="90"/>
              <w:bottom w:type="dxa" w:w="60"/>
              <w:right w:type="dxa" w:w="90"/>
            </w:tcMar>
          </w:tcPr>
          <w:p>
            <w:pPr>
              <w:spacing w:after="0"/>
            </w:pPr>
            <w:r>
              <w:rPr>
                <w:sz w:val="19"/>
                <w:szCs w:val="19"/>
              </w:rPr>
              <w:t xml:space="preserve">6,400</w:t>
            </w:r>
          </w:p>
        </w:tc>
        <w:tc>
          <w:tcPr>
            <w:tcW w:type="dxa" w:w="0"/>
            <w:tcMar>
              <w:top w:type="dxa" w:w="60"/>
              <w:left w:type="dxa" w:w="90"/>
              <w:bottom w:type="dxa" w:w="60"/>
              <w:right w:type="dxa" w:w="90"/>
            </w:tcMar>
          </w:tcPr>
          <w:p>
            <w:pPr>
              <w:spacing w:after="0"/>
            </w:pPr>
            <w:r>
              <w:rPr>
                <w:sz w:val="19"/>
                <w:szCs w:val="19"/>
              </w:rPr>
              <w:t xml:space="preserve">Venue, transport, materials</w:t>
            </w:r>
          </w:p>
        </w:tc>
      </w:tr>
      <w:tr>
        <w:trPr>
          <w:tblHeader w:val="false"/>
        </w:trPr>
        <w:tc>
          <w:tcPr>
            <w:tcW w:type="dxa" w:w="0"/>
            <w:tcMar>
              <w:top w:type="dxa" w:w="60"/>
              <w:left w:type="dxa" w:w="90"/>
              <w:bottom w:type="dxa" w:w="60"/>
              <w:right w:type="dxa" w:w="90"/>
            </w:tcMar>
          </w:tcPr>
          <w:p>
            <w:pPr>
              <w:spacing w:after="0"/>
            </w:pPr>
            <w:r>
              <w:rPr>
                <w:sz w:val="19"/>
                <w:szCs w:val="19"/>
              </w:rPr>
              <w:t xml:space="preserve">Field travel (6-weekly site visits, 4 regions)</w:t>
            </w:r>
          </w:p>
        </w:tc>
        <w:tc>
          <w:tcPr>
            <w:tcW w:type="dxa" w:w="0"/>
            <w:tcMar>
              <w:top w:type="dxa" w:w="60"/>
              <w:left w:type="dxa" w:w="90"/>
              <w:bottom w:type="dxa" w:w="60"/>
              <w:right w:type="dxa" w:w="90"/>
            </w:tcMar>
          </w:tcPr>
          <w:p>
            <w:pPr>
              <w:spacing w:after="0"/>
            </w:pPr>
            <w:r>
              <w:rPr>
                <w:sz w:val="19"/>
                <w:szCs w:val="19"/>
              </w:rPr>
              <w:t xml:space="preserve">9,000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Advisory group meetings and final dissemination workshop</w:t>
            </w:r>
          </w:p>
        </w:tc>
        <w:tc>
          <w:tcPr>
            <w:tcW w:type="dxa" w:w="0"/>
            <w:tcMar>
              <w:top w:type="dxa" w:w="60"/>
              <w:left w:type="dxa" w:w="90"/>
              <w:bottom w:type="dxa" w:w="60"/>
              <w:right w:type="dxa" w:w="90"/>
            </w:tcMar>
          </w:tcPr>
          <w:p>
            <w:pPr>
              <w:spacing w:after="0"/>
            </w:pPr>
            <w:r>
              <w:rPr>
                <w:sz w:val="19"/>
                <w:szCs w:val="19"/>
              </w:rPr>
              <w:t xml:space="preserve">3,000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i/>
                <w:iCs/>
                <w:sz w:val="19"/>
                <w:szCs w:val="19"/>
              </w:rPr>
              <w:t xml:space="preserve">Training/field subtotal</w:t>
            </w:r>
          </w:p>
        </w:tc>
        <w:tc>
          <w:tcPr>
            <w:tcW w:type="dxa" w:w="0"/>
            <w:tcMar>
              <w:top w:type="dxa" w:w="60"/>
              <w:left w:type="dxa" w:w="90"/>
              <w:bottom w:type="dxa" w:w="60"/>
              <w:right w:type="dxa" w:w="90"/>
            </w:tcMar>
          </w:tcPr>
          <w:p>
            <w:pPr>
              <w:spacing w:after="0"/>
            </w:pPr>
            <w:r>
              <w:rPr>
                <w:i/>
                <w:iCs/>
                <w:sz w:val="19"/>
                <w:szCs w:val="19"/>
              </w:rPr>
              <w:t xml:space="preserve">18,400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b/>
                <w:bCs/>
                <w:sz w:val="19"/>
                <w:szCs w:val="19"/>
              </w:rPr>
              <w:t xml:space="preserve">Indirect / contingency</w:t>
            </w:r>
          </w:p>
        </w:tc>
        <w:tc>
          <w:tcPr>
            <w:tcW w:type="dxa" w:w="0"/>
            <w:tcMar>
              <w:top w:type="dxa" w:w="60"/>
              <w:left w:type="dxa" w:w="90"/>
              <w:bottom w:type="dxa" w:w="60"/>
              <w:right w:type="dxa" w:w="90"/>
            </w:tcMar>
          </w:tcPr>
          <w:p>
            <w:pPr>
              <w:spacing w:after="0"/>
            </w:pP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Audit, accounting, insurance</w:t>
            </w:r>
          </w:p>
        </w:tc>
        <w:tc>
          <w:tcPr>
            <w:tcW w:type="dxa" w:w="0"/>
            <w:tcMar>
              <w:top w:type="dxa" w:w="60"/>
              <w:left w:type="dxa" w:w="90"/>
              <w:bottom w:type="dxa" w:w="60"/>
              <w:right w:type="dxa" w:w="90"/>
            </w:tcMar>
          </w:tcPr>
          <w:p>
            <w:pPr>
              <w:spacing w:after="0"/>
            </w:pPr>
            <w:r>
              <w:rPr>
                <w:sz w:val="19"/>
                <w:szCs w:val="19"/>
              </w:rPr>
              <w:t xml:space="preserve">4,000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sz w:val="19"/>
                <w:szCs w:val="19"/>
              </w:rPr>
              <w:t xml:space="preserve">Contingency (≈3.5%)</w:t>
            </w:r>
          </w:p>
        </w:tc>
        <w:tc>
          <w:tcPr>
            <w:tcW w:type="dxa" w:w="0"/>
            <w:tcMar>
              <w:top w:type="dxa" w:w="60"/>
              <w:left w:type="dxa" w:w="90"/>
              <w:bottom w:type="dxa" w:w="60"/>
              <w:right w:type="dxa" w:w="90"/>
            </w:tcMar>
          </w:tcPr>
          <w:p>
            <w:pPr>
              <w:spacing w:after="0"/>
            </w:pPr>
            <w:r>
              <w:rPr>
                <w:sz w:val="19"/>
                <w:szCs w:val="19"/>
              </w:rPr>
              <w:t xml:space="preserve">7,000</w:t>
            </w:r>
          </w:p>
        </w:tc>
        <w:tc>
          <w:tcPr>
            <w:tcW w:type="dxa" w:w="0"/>
            <w:tcMar>
              <w:top w:type="dxa" w:w="60"/>
              <w:left w:type="dxa" w:w="90"/>
              <w:bottom w:type="dxa" w:w="60"/>
              <w:right w:type="dxa" w:w="90"/>
            </w:tcMar>
          </w:tcPr>
          <w:p>
            <w:pPr>
              <w:spacing w:after="0"/>
            </w:pPr>
          </w:p>
        </w:tc>
      </w:tr>
      <w:tr>
        <w:trPr>
          <w:tblHeader w:val="false"/>
        </w:trPr>
        <w:tc>
          <w:tcPr>
            <w:tcW w:type="dxa" w:w="0"/>
            <w:tcMar>
              <w:top w:type="dxa" w:w="60"/>
              <w:left w:type="dxa" w:w="90"/>
              <w:bottom w:type="dxa" w:w="60"/>
              <w:right w:type="dxa" w:w="90"/>
            </w:tcMar>
          </w:tcPr>
          <w:p>
            <w:pPr>
              <w:spacing w:after="0"/>
            </w:pPr>
            <w:r>
              <w:rPr>
                <w:b/>
                <w:bCs/>
                <w:sz w:val="19"/>
                <w:szCs w:val="19"/>
              </w:rPr>
              <w:t xml:space="preserve">Total requested</w:t>
            </w:r>
          </w:p>
        </w:tc>
        <w:tc>
          <w:tcPr>
            <w:tcW w:type="dxa" w:w="0"/>
            <w:tcMar>
              <w:top w:type="dxa" w:w="60"/>
              <w:left w:type="dxa" w:w="90"/>
              <w:bottom w:type="dxa" w:w="60"/>
              <w:right w:type="dxa" w:w="90"/>
            </w:tcMar>
          </w:tcPr>
          <w:p>
            <w:pPr>
              <w:spacing w:after="0"/>
            </w:pPr>
            <w:r>
              <w:rPr>
                <w:b/>
                <w:bCs/>
                <w:sz w:val="19"/>
                <w:szCs w:val="19"/>
              </w:rPr>
              <w:t xml:space="preserve">198,500</w:t>
            </w:r>
          </w:p>
        </w:tc>
        <w:tc>
          <w:tcPr>
            <w:tcW w:type="dxa" w:w="0"/>
            <w:tcMar>
              <w:top w:type="dxa" w:w="60"/>
              <w:left w:type="dxa" w:w="90"/>
              <w:bottom w:type="dxa" w:w="60"/>
              <w:right w:type="dxa" w:w="90"/>
            </w:tcMar>
          </w:tcPr>
          <w:p>
            <w:pPr>
              <w:spacing w:after="0"/>
            </w:pPr>
          </w:p>
        </w:tc>
      </w:tr>
    </w:tbl>
    <w:p>
      <w:pPr>
        <w:spacing w:after="120"/>
      </w:pPr>
    </w:p>
    <w:p>
      <w:pPr>
        <w:spacing w:after="120"/>
      </w:pPr>
      <w:r>
        <w:t xml:space="preserve">Co-financing: founder's in-kind time and the existing FraudShield codebase (not costed); institutions contribute staff time for investigation and data exports. </w:t>
      </w:r>
      <w:r>
        <w:rPr>
          <w:rFonts w:ascii="Consolas" w:cs="Consolas" w:eastAsia="Consolas" w:hAnsi="Consolas"/>
          <w:sz w:val="18"/>
          <w:szCs w:val="18"/>
          <w:shd w:fill="F1F5F9" w:val="clear"/>
        </w:rPr>
        <w:t xml:space="preserve">[TBC: any other co-funding]</w:t>
      </w:r>
    </w:p>
    <w:p>
      <w:pPr>
        <w:pBdr>
          <w:bottom w:val="single" w:color="CBD5E1" w:sz="6" w:space="1"/>
        </w:pBdr>
        <w:spacing w:after="160"/>
      </w:pPr>
    </w:p>
    <w:p>
      <w:pPr>
        <w:pStyle w:val="Heading1"/>
        <w:spacing w:after="140" w:before="320"/>
      </w:pPr>
      <w:r>
        <w:rPr>
          <w:b/>
          <w:bCs/>
          <w:color w:val="0F766E"/>
          <w:sz w:val="28"/>
          <w:szCs w:val="28"/>
        </w:rPr>
        <w:t xml:space="preserve">12. Risks and mitigations</w:t>
      </w:r>
    </w:p>
    <w:tbl>
      <w:tblPr>
        <w:tblW w:type="dxa" w:w="9638"/>
        <w:tblBorders>
          <w:top w:val="single" w:color="CBD5E1" w:sz="4"/>
          <w:left w:val="none" w:sz="0"/>
          <w:bottom w:val="single" w:color="CBD5E1" w:sz="4"/>
          <w:right w:val="none" w:sz="0"/>
          <w:insideH w:val="single" w:color="E2E8F0" w:sz="4"/>
          <w:insideV w:val="none" w:sz="0"/>
        </w:tblBorders>
      </w:tblPr>
      <w:tblGrid>
        <w:gridCol w:w="3135"/>
        <w:gridCol w:w="1596"/>
        <w:gridCol w:w="1087"/>
        <w:gridCol w:w="3820"/>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Risk</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Likelihood</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Impact</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Mitigation</w:t>
            </w:r>
          </w:p>
        </w:tc>
      </w:tr>
      <w:tr>
        <w:trPr>
          <w:tblHeader w:val="false"/>
        </w:trPr>
        <w:tc>
          <w:tcPr>
            <w:tcW w:type="dxa" w:w="0"/>
            <w:tcMar>
              <w:top w:type="dxa" w:w="60"/>
              <w:left w:type="dxa" w:w="90"/>
              <w:bottom w:type="dxa" w:w="60"/>
              <w:right w:type="dxa" w:w="90"/>
            </w:tcMar>
          </w:tcPr>
          <w:p>
            <w:pPr>
              <w:spacing w:after="0"/>
            </w:pPr>
            <w:r>
              <w:rPr>
                <w:sz w:val="19"/>
                <w:szCs w:val="19"/>
              </w:rPr>
              <w:t xml:space="preserve">Recruitment shortfall / attrition</w:t>
            </w:r>
          </w:p>
        </w:tc>
        <w:tc>
          <w:tcPr>
            <w:tcW w:type="dxa" w:w="0"/>
            <w:tcMar>
              <w:top w:type="dxa" w:w="60"/>
              <w:left w:type="dxa" w:w="90"/>
              <w:bottom w:type="dxa" w:w="60"/>
              <w:right w:type="dxa" w:w="90"/>
            </w:tcMar>
          </w:tcPr>
          <w:p>
            <w:pPr>
              <w:spacing w:after="0"/>
            </w:pPr>
            <w:r>
              <w:rPr>
                <w:sz w:val="19"/>
                <w:szCs w:val="19"/>
              </w:rPr>
              <w:t xml:space="preserve">Medium</w:t>
            </w:r>
          </w:p>
        </w:tc>
        <w:tc>
          <w:tcPr>
            <w:tcW w:type="dxa" w:w="0"/>
            <w:tcMar>
              <w:top w:type="dxa" w:w="60"/>
              <w:left w:type="dxa" w:w="90"/>
              <w:bottom w:type="dxa" w:w="60"/>
              <w:right w:type="dxa" w:w="90"/>
            </w:tcMar>
          </w:tcPr>
          <w:p>
            <w:pPr>
              <w:spacing w:after="0"/>
            </w:pPr>
            <w:r>
              <w:rPr>
                <w:sz w:val="19"/>
                <w:szCs w:val="19"/>
              </w:rPr>
              <w:t xml:space="preserve">High</w:t>
            </w:r>
          </w:p>
        </w:tc>
        <w:tc>
          <w:tcPr>
            <w:tcW w:type="dxa" w:w="0"/>
            <w:tcMar>
              <w:top w:type="dxa" w:w="60"/>
              <w:left w:type="dxa" w:w="90"/>
              <w:bottom w:type="dxa" w:w="60"/>
              <w:right w:type="dxa" w:w="90"/>
            </w:tcMar>
          </w:tcPr>
          <w:p>
            <w:pPr>
              <w:spacing w:after="0"/>
            </w:pPr>
            <w:r>
              <w:rPr>
                <w:sz w:val="19"/>
                <w:szCs w:val="19"/>
              </w:rPr>
              <w:t xml:space="preserve">Over-recruit to 60; UCSCU/UMRA channels; no-cost participation; C-arm guaranteed the tool by month 13</w:t>
            </w:r>
          </w:p>
        </w:tc>
      </w:tr>
      <w:tr>
        <w:trPr>
          <w:tblHeader w:val="false"/>
        </w:trPr>
        <w:tc>
          <w:tcPr>
            <w:tcW w:type="dxa" w:w="0"/>
            <w:tcMar>
              <w:top w:type="dxa" w:w="60"/>
              <w:left w:type="dxa" w:w="90"/>
              <w:bottom w:type="dxa" w:w="60"/>
              <w:right w:type="dxa" w:w="90"/>
            </w:tcMar>
          </w:tcPr>
          <w:p>
            <w:pPr>
              <w:spacing w:after="0"/>
            </w:pPr>
            <w:r>
              <w:rPr>
                <w:sz w:val="19"/>
                <w:szCs w:val="19"/>
              </w:rPr>
              <w:t xml:space="preserve">Institutions do not act on alerts</w:t>
            </w:r>
          </w:p>
        </w:tc>
        <w:tc>
          <w:tcPr>
            <w:tcW w:type="dxa" w:w="0"/>
            <w:tcMar>
              <w:top w:type="dxa" w:w="60"/>
              <w:left w:type="dxa" w:w="90"/>
              <w:bottom w:type="dxa" w:w="60"/>
              <w:right w:type="dxa" w:w="90"/>
            </w:tcMar>
          </w:tcPr>
          <w:p>
            <w:pPr>
              <w:spacing w:after="0"/>
            </w:pPr>
            <w:r>
              <w:rPr>
                <w:sz w:val="19"/>
                <w:szCs w:val="19"/>
              </w:rPr>
              <w:t xml:space="preserve">Medium</w:t>
            </w:r>
          </w:p>
        </w:tc>
        <w:tc>
          <w:tcPr>
            <w:tcW w:type="dxa" w:w="0"/>
            <w:tcMar>
              <w:top w:type="dxa" w:w="60"/>
              <w:left w:type="dxa" w:w="90"/>
              <w:bottom w:type="dxa" w:w="60"/>
              <w:right w:type="dxa" w:w="90"/>
            </w:tcMar>
          </w:tcPr>
          <w:p>
            <w:pPr>
              <w:spacing w:after="0"/>
            </w:pPr>
            <w:r>
              <w:rPr>
                <w:sz w:val="19"/>
                <w:szCs w:val="19"/>
              </w:rPr>
              <w:t xml:space="preserve">High</w:t>
            </w:r>
          </w:p>
        </w:tc>
        <w:tc>
          <w:tcPr>
            <w:tcW w:type="dxa" w:w="0"/>
            <w:tcMar>
              <w:top w:type="dxa" w:w="60"/>
              <w:left w:type="dxa" w:w="90"/>
              <w:bottom w:type="dxa" w:w="60"/>
              <w:right w:type="dxa" w:w="90"/>
            </w:tcMar>
          </w:tcPr>
          <w:p>
            <w:pPr>
              <w:spacing w:after="0"/>
            </w:pPr>
            <w:r>
              <w:rPr>
                <w:sz w:val="19"/>
                <w:szCs w:val="19"/>
              </w:rPr>
              <w:t xml:space="preserve">Cap alerts to capacity; focal-person training; board-level reporting; measure and report non-action as a finding (Q2)</w:t>
            </w:r>
          </w:p>
        </w:tc>
      </w:tr>
      <w:tr>
        <w:trPr>
          <w:tblHeader w:val="false"/>
        </w:trPr>
        <w:tc>
          <w:tcPr>
            <w:tcW w:type="dxa" w:w="0"/>
            <w:tcMar>
              <w:top w:type="dxa" w:w="60"/>
              <w:left w:type="dxa" w:w="90"/>
              <w:bottom w:type="dxa" w:w="60"/>
              <w:right w:type="dxa" w:w="90"/>
            </w:tcMar>
          </w:tcPr>
          <w:p>
            <w:pPr>
              <w:spacing w:after="0"/>
            </w:pPr>
            <w:r>
              <w:rPr>
                <w:sz w:val="19"/>
                <w:szCs w:val="19"/>
              </w:rPr>
              <w:t xml:space="preserve">High false-positive rate erodes trust</w:t>
            </w:r>
          </w:p>
        </w:tc>
        <w:tc>
          <w:tcPr>
            <w:tcW w:type="dxa" w:w="0"/>
            <w:tcMar>
              <w:top w:type="dxa" w:w="60"/>
              <w:left w:type="dxa" w:w="90"/>
              <w:bottom w:type="dxa" w:w="60"/>
              <w:right w:type="dxa" w:w="90"/>
            </w:tcMar>
          </w:tcPr>
          <w:p>
            <w:pPr>
              <w:spacing w:after="0"/>
            </w:pPr>
            <w:r>
              <w:rPr>
                <w:sz w:val="19"/>
                <w:szCs w:val="19"/>
              </w:rPr>
              <w:t xml:space="preserve">Medium</w:t>
            </w:r>
          </w:p>
        </w:tc>
        <w:tc>
          <w:tcPr>
            <w:tcW w:type="dxa" w:w="0"/>
            <w:tcMar>
              <w:top w:type="dxa" w:w="60"/>
              <w:left w:type="dxa" w:w="90"/>
              <w:bottom w:type="dxa" w:w="60"/>
              <w:right w:type="dxa" w:w="90"/>
            </w:tcMar>
          </w:tcPr>
          <w:p>
            <w:pPr>
              <w:spacing w:after="0"/>
            </w:pPr>
            <w:r>
              <w:rPr>
                <w:sz w:val="19"/>
                <w:szCs w:val="19"/>
              </w:rPr>
              <w:t xml:space="preserve">Medium</w:t>
            </w:r>
          </w:p>
        </w:tc>
        <w:tc>
          <w:tcPr>
            <w:tcW w:type="dxa" w:w="0"/>
            <w:tcMar>
              <w:top w:type="dxa" w:w="60"/>
              <w:left w:type="dxa" w:w="90"/>
              <w:bottom w:type="dxa" w:w="60"/>
              <w:right w:type="dxa" w:w="90"/>
            </w:tcMar>
          </w:tcPr>
          <w:p>
            <w:pPr>
              <w:spacing w:after="0"/>
            </w:pPr>
            <w:r>
              <w:rPr>
                <w:sz w:val="19"/>
                <w:szCs w:val="19"/>
              </w:rPr>
              <w:t xml:space="preserve">Stage 0 threshold calibration; quarterly re-tuning; typology-specific thresholds; precision tracked per site</w:t>
            </w:r>
          </w:p>
        </w:tc>
      </w:tr>
      <w:tr>
        <w:trPr>
          <w:tblHeader w:val="false"/>
        </w:trPr>
        <w:tc>
          <w:tcPr>
            <w:tcW w:type="dxa" w:w="0"/>
            <w:tcMar>
              <w:top w:type="dxa" w:w="60"/>
              <w:left w:type="dxa" w:w="90"/>
              <w:bottom w:type="dxa" w:w="60"/>
              <w:right w:type="dxa" w:w="90"/>
            </w:tcMar>
          </w:tcPr>
          <w:p>
            <w:pPr>
              <w:spacing w:after="0"/>
            </w:pPr>
            <w:r>
              <w:rPr>
                <w:sz w:val="19"/>
                <w:szCs w:val="19"/>
              </w:rPr>
              <w:t xml:space="preserve">Data quality / export failures at Excel-based sites</w:t>
            </w:r>
          </w:p>
        </w:tc>
        <w:tc>
          <w:tcPr>
            <w:tcW w:type="dxa" w:w="0"/>
            <w:tcMar>
              <w:top w:type="dxa" w:w="60"/>
              <w:left w:type="dxa" w:w="90"/>
              <w:bottom w:type="dxa" w:w="60"/>
              <w:right w:type="dxa" w:w="90"/>
            </w:tcMar>
          </w:tcPr>
          <w:p>
            <w:pPr>
              <w:spacing w:after="0"/>
            </w:pPr>
            <w:r>
              <w:rPr>
                <w:sz w:val="19"/>
                <w:szCs w:val="19"/>
              </w:rPr>
              <w:t xml:space="preserve">High</w:t>
            </w:r>
          </w:p>
        </w:tc>
        <w:tc>
          <w:tcPr>
            <w:tcW w:type="dxa" w:w="0"/>
            <w:tcMar>
              <w:top w:type="dxa" w:w="60"/>
              <w:left w:type="dxa" w:w="90"/>
              <w:bottom w:type="dxa" w:w="60"/>
              <w:right w:type="dxa" w:w="90"/>
            </w:tcMar>
          </w:tcPr>
          <w:p>
            <w:pPr>
              <w:spacing w:after="0"/>
            </w:pPr>
            <w:r>
              <w:rPr>
                <w:sz w:val="19"/>
                <w:szCs w:val="19"/>
              </w:rPr>
              <w:t xml:space="preserve">Medium</w:t>
            </w:r>
          </w:p>
        </w:tc>
        <w:tc>
          <w:tcPr>
            <w:tcW w:type="dxa" w:w="0"/>
            <w:tcMar>
              <w:top w:type="dxa" w:w="60"/>
              <w:left w:type="dxa" w:w="90"/>
              <w:bottom w:type="dxa" w:w="60"/>
              <w:right w:type="dxa" w:w="90"/>
            </w:tcMar>
          </w:tcPr>
          <w:p>
            <w:pPr>
              <w:spacing w:after="0"/>
            </w:pPr>
            <w:r>
              <w:rPr>
                <w:sz w:val="19"/>
                <w:szCs w:val="19"/>
              </w:rPr>
              <w:t xml:space="preserve">Schema-mapping module; field-officer support; minimum-data checklist at recruitment</w:t>
            </w:r>
          </w:p>
        </w:tc>
      </w:tr>
      <w:tr>
        <w:trPr>
          <w:tblHeader w:val="false"/>
        </w:trPr>
        <w:tc>
          <w:tcPr>
            <w:tcW w:type="dxa" w:w="0"/>
            <w:tcMar>
              <w:top w:type="dxa" w:w="60"/>
              <w:left w:type="dxa" w:w="90"/>
              <w:bottom w:type="dxa" w:w="60"/>
              <w:right w:type="dxa" w:w="90"/>
            </w:tcMar>
          </w:tcPr>
          <w:p>
            <w:pPr>
              <w:spacing w:after="0"/>
            </w:pPr>
            <w:r>
              <w:rPr>
                <w:sz w:val="19"/>
                <w:szCs w:val="19"/>
              </w:rPr>
              <w:t xml:space="preserve">Connectivity failures for federation rounds</w:t>
            </w:r>
          </w:p>
        </w:tc>
        <w:tc>
          <w:tcPr>
            <w:tcW w:type="dxa" w:w="0"/>
            <w:tcMar>
              <w:top w:type="dxa" w:w="60"/>
              <w:left w:type="dxa" w:w="90"/>
              <w:bottom w:type="dxa" w:w="60"/>
              <w:right w:type="dxa" w:w="90"/>
            </w:tcMar>
          </w:tcPr>
          <w:p>
            <w:pPr>
              <w:spacing w:after="0"/>
            </w:pPr>
            <w:r>
              <w:rPr>
                <w:sz w:val="19"/>
                <w:szCs w:val="19"/>
              </w:rPr>
              <w:t xml:space="preserve">Medium</w:t>
            </w:r>
          </w:p>
        </w:tc>
        <w:tc>
          <w:tcPr>
            <w:tcW w:type="dxa" w:w="0"/>
            <w:tcMar>
              <w:top w:type="dxa" w:w="60"/>
              <w:left w:type="dxa" w:w="90"/>
              <w:bottom w:type="dxa" w:w="60"/>
              <w:right w:type="dxa" w:w="90"/>
            </w:tcMar>
          </w:tcPr>
          <w:p>
            <w:pPr>
              <w:spacing w:after="0"/>
            </w:pPr>
            <w:r>
              <w:rPr>
                <w:sz w:val="19"/>
                <w:szCs w:val="19"/>
              </w:rPr>
              <w:t xml:space="preserve">Low</w:t>
            </w:r>
          </w:p>
        </w:tc>
        <w:tc>
          <w:tcPr>
            <w:tcW w:type="dxa" w:w="0"/>
            <w:tcMar>
              <w:top w:type="dxa" w:w="60"/>
              <w:left w:type="dxa" w:w="90"/>
              <w:bottom w:type="dxa" w:w="60"/>
              <w:right w:type="dxa" w:w="90"/>
            </w:tcMar>
          </w:tcPr>
          <w:p>
            <w:pPr>
              <w:spacing w:after="0"/>
            </w:pPr>
            <w:r>
              <w:rPr>
                <w:sz w:val="19"/>
                <w:szCs w:val="19"/>
              </w:rPr>
              <w:t xml:space="preserve">Asynchronous rounds; ~100 KB payloads; rounds can lag a month without harm</w:t>
            </w:r>
          </w:p>
        </w:tc>
      </w:tr>
      <w:tr>
        <w:trPr>
          <w:tblHeader w:val="false"/>
        </w:trPr>
        <w:tc>
          <w:tcPr>
            <w:tcW w:type="dxa" w:w="0"/>
            <w:tcMar>
              <w:top w:type="dxa" w:w="60"/>
              <w:left w:type="dxa" w:w="90"/>
              <w:bottom w:type="dxa" w:w="60"/>
              <w:right w:type="dxa" w:w="90"/>
            </w:tcMar>
          </w:tcPr>
          <w:p>
            <w:pPr>
              <w:spacing w:after="0"/>
            </w:pPr>
            <w:r>
              <w:rPr>
                <w:sz w:val="19"/>
                <w:szCs w:val="19"/>
              </w:rPr>
              <w:t xml:space="preserve">Staff intimidation or unfair action on the basis of alerts</w:t>
            </w:r>
          </w:p>
        </w:tc>
        <w:tc>
          <w:tcPr>
            <w:tcW w:type="dxa" w:w="0"/>
            <w:tcMar>
              <w:top w:type="dxa" w:w="60"/>
              <w:left w:type="dxa" w:w="90"/>
              <w:bottom w:type="dxa" w:w="60"/>
              <w:right w:type="dxa" w:w="90"/>
            </w:tcMar>
          </w:tcPr>
          <w:p>
            <w:pPr>
              <w:spacing w:after="0"/>
            </w:pPr>
            <w:r>
              <w:rPr>
                <w:sz w:val="19"/>
                <w:szCs w:val="19"/>
              </w:rPr>
              <w:t xml:space="preserve">Low</w:t>
            </w:r>
          </w:p>
        </w:tc>
        <w:tc>
          <w:tcPr>
            <w:tcW w:type="dxa" w:w="0"/>
            <w:tcMar>
              <w:top w:type="dxa" w:w="60"/>
              <w:left w:type="dxa" w:w="90"/>
              <w:bottom w:type="dxa" w:w="60"/>
              <w:right w:type="dxa" w:w="90"/>
            </w:tcMar>
          </w:tcPr>
          <w:p>
            <w:pPr>
              <w:spacing w:after="0"/>
            </w:pPr>
            <w:r>
              <w:rPr>
                <w:sz w:val="19"/>
                <w:szCs w:val="19"/>
              </w:rPr>
              <w:t xml:space="preserve">High</w:t>
            </w:r>
          </w:p>
        </w:tc>
        <w:tc>
          <w:tcPr>
            <w:tcW w:type="dxa" w:w="0"/>
            <w:tcMar>
              <w:top w:type="dxa" w:w="60"/>
              <w:left w:type="dxa" w:w="90"/>
              <w:bottom w:type="dxa" w:w="60"/>
              <w:right w:type="dxa" w:w="90"/>
            </w:tcMar>
          </w:tcPr>
          <w:p>
            <w:pPr>
              <w:spacing w:after="0"/>
            </w:pPr>
            <w:r>
              <w:rPr>
                <w:sz w:val="19"/>
                <w:szCs w:val="19"/>
              </w:rPr>
              <w:t xml:space="preserve">Alert communication protocol; alerts framed as triage, not accusation; advisory-group oversight; institution retains all decisions</w:t>
            </w:r>
          </w:p>
        </w:tc>
      </w:tr>
      <w:tr>
        <w:trPr>
          <w:tblHeader w:val="false"/>
        </w:trPr>
        <w:tc>
          <w:tcPr>
            <w:tcW w:type="dxa" w:w="0"/>
            <w:tcMar>
              <w:top w:type="dxa" w:w="60"/>
              <w:left w:type="dxa" w:w="90"/>
              <w:bottom w:type="dxa" w:w="60"/>
              <w:right w:type="dxa" w:w="90"/>
            </w:tcMar>
          </w:tcPr>
          <w:p>
            <w:pPr>
              <w:spacing w:after="0"/>
            </w:pPr>
            <w:r>
              <w:rPr>
                <w:sz w:val="19"/>
                <w:szCs w:val="19"/>
              </w:rPr>
              <w:t xml:space="preserve">Contamination (C-arm institutions change behaviour after hearing of the pilot)</w:t>
            </w:r>
          </w:p>
        </w:tc>
        <w:tc>
          <w:tcPr>
            <w:tcW w:type="dxa" w:w="0"/>
            <w:tcMar>
              <w:top w:type="dxa" w:w="60"/>
              <w:left w:type="dxa" w:w="90"/>
              <w:bottom w:type="dxa" w:w="60"/>
              <w:right w:type="dxa" w:w="90"/>
            </w:tcMar>
          </w:tcPr>
          <w:p>
            <w:pPr>
              <w:spacing w:after="0"/>
            </w:pPr>
            <w:r>
              <w:rPr>
                <w:sz w:val="19"/>
                <w:szCs w:val="19"/>
              </w:rPr>
              <w:t xml:space="preserve">Medium</w:t>
            </w:r>
          </w:p>
        </w:tc>
        <w:tc>
          <w:tcPr>
            <w:tcW w:type="dxa" w:w="0"/>
            <w:tcMar>
              <w:top w:type="dxa" w:w="60"/>
              <w:left w:type="dxa" w:w="90"/>
              <w:bottom w:type="dxa" w:w="60"/>
              <w:right w:type="dxa" w:w="90"/>
            </w:tcMar>
          </w:tcPr>
          <w:p>
            <w:pPr>
              <w:spacing w:after="0"/>
            </w:pPr>
            <w:r>
              <w:rPr>
                <w:sz w:val="19"/>
                <w:szCs w:val="19"/>
              </w:rPr>
              <w:t xml:space="preserve">Medium</w:t>
            </w:r>
          </w:p>
        </w:tc>
        <w:tc>
          <w:tcPr>
            <w:tcW w:type="dxa" w:w="0"/>
            <w:tcMar>
              <w:top w:type="dxa" w:w="60"/>
              <w:left w:type="dxa" w:w="90"/>
              <w:bottom w:type="dxa" w:w="60"/>
              <w:right w:type="dxa" w:w="90"/>
            </w:tcMar>
          </w:tcPr>
          <w:p>
            <w:pPr>
              <w:spacing w:after="0"/>
            </w:pPr>
            <w:r>
              <w:rPr>
                <w:sz w:val="19"/>
                <w:szCs w:val="19"/>
              </w:rPr>
              <w:t xml:space="preserve">Regional stratification; measure awareness at endline; interpret as lower bound</w:t>
            </w:r>
          </w:p>
        </w:tc>
      </w:tr>
      <w:tr>
        <w:trPr>
          <w:tblHeader w:val="false"/>
        </w:trPr>
        <w:tc>
          <w:tcPr>
            <w:tcW w:type="dxa" w:w="0"/>
            <w:tcMar>
              <w:top w:type="dxa" w:w="60"/>
              <w:left w:type="dxa" w:w="90"/>
              <w:bottom w:type="dxa" w:w="60"/>
              <w:right w:type="dxa" w:w="90"/>
            </w:tcMar>
          </w:tcPr>
          <w:p>
            <w:pPr>
              <w:spacing w:after="0"/>
            </w:pPr>
            <w:r>
              <w:rPr>
                <w:sz w:val="19"/>
                <w:szCs w:val="19"/>
              </w:rPr>
              <w:t xml:space="preserve">Regulatory objection to shared hub</w:t>
            </w:r>
          </w:p>
        </w:tc>
        <w:tc>
          <w:tcPr>
            <w:tcW w:type="dxa" w:w="0"/>
            <w:tcMar>
              <w:top w:type="dxa" w:w="60"/>
              <w:left w:type="dxa" w:w="90"/>
              <w:bottom w:type="dxa" w:w="60"/>
              <w:right w:type="dxa" w:w="90"/>
            </w:tcMar>
          </w:tcPr>
          <w:p>
            <w:pPr>
              <w:spacing w:after="0"/>
            </w:pPr>
            <w:r>
              <w:rPr>
                <w:sz w:val="19"/>
                <w:szCs w:val="19"/>
              </w:rPr>
              <w:t xml:space="preserve">Low</w:t>
            </w:r>
          </w:p>
        </w:tc>
        <w:tc>
          <w:tcPr>
            <w:tcW w:type="dxa" w:w="0"/>
            <w:tcMar>
              <w:top w:type="dxa" w:w="60"/>
              <w:left w:type="dxa" w:w="90"/>
              <w:bottom w:type="dxa" w:w="60"/>
              <w:right w:type="dxa" w:w="90"/>
            </w:tcMar>
          </w:tcPr>
          <w:p>
            <w:pPr>
              <w:spacing w:after="0"/>
            </w:pPr>
            <w:r>
              <w:rPr>
                <w:sz w:val="19"/>
                <w:szCs w:val="19"/>
              </w:rPr>
              <w:t xml:space="preserve">High</w:t>
            </w:r>
          </w:p>
        </w:tc>
        <w:tc>
          <w:tcPr>
            <w:tcW w:type="dxa" w:w="0"/>
            <w:tcMar>
              <w:top w:type="dxa" w:w="60"/>
              <w:left w:type="dxa" w:w="90"/>
              <w:bottom w:type="dxa" w:w="60"/>
              <w:right w:type="dxa" w:w="90"/>
            </w:tcMar>
          </w:tcPr>
          <w:p>
            <w:pPr>
              <w:spacing w:after="0"/>
            </w:pPr>
            <w:r>
              <w:rPr>
                <w:sz w:val="19"/>
                <w:szCs w:val="19"/>
              </w:rPr>
              <w:t xml:space="preserve">UMRA engaged from Stage 0; hub in Uganda; CRB regulations precedent; DPPA analysis in paper</w:t>
            </w:r>
          </w:p>
        </w:tc>
      </w:tr>
      <w:tr>
        <w:trPr>
          <w:tblHeader w:val="false"/>
        </w:trPr>
        <w:tc>
          <w:tcPr>
            <w:tcW w:type="dxa" w:w="0"/>
            <w:tcMar>
              <w:top w:type="dxa" w:w="60"/>
              <w:left w:type="dxa" w:w="90"/>
              <w:bottom w:type="dxa" w:w="60"/>
              <w:right w:type="dxa" w:w="90"/>
            </w:tcMar>
          </w:tcPr>
          <w:p>
            <w:pPr>
              <w:spacing w:after="0"/>
            </w:pPr>
            <w:r>
              <w:rPr>
                <w:sz w:val="19"/>
                <w:szCs w:val="19"/>
              </w:rPr>
              <w:t xml:space="preserve">Key-person dependency</w:t>
            </w:r>
          </w:p>
        </w:tc>
        <w:tc>
          <w:tcPr>
            <w:tcW w:type="dxa" w:w="0"/>
            <w:tcMar>
              <w:top w:type="dxa" w:w="60"/>
              <w:left w:type="dxa" w:w="90"/>
              <w:bottom w:type="dxa" w:w="60"/>
              <w:right w:type="dxa" w:w="90"/>
            </w:tcMar>
          </w:tcPr>
          <w:p>
            <w:pPr>
              <w:spacing w:after="0"/>
            </w:pPr>
            <w:r>
              <w:rPr>
                <w:sz w:val="19"/>
                <w:szCs w:val="19"/>
              </w:rPr>
              <w:t xml:space="preserve">Medium</w:t>
            </w:r>
          </w:p>
        </w:tc>
        <w:tc>
          <w:tcPr>
            <w:tcW w:type="dxa" w:w="0"/>
            <w:tcMar>
              <w:top w:type="dxa" w:w="60"/>
              <w:left w:type="dxa" w:w="90"/>
              <w:bottom w:type="dxa" w:w="60"/>
              <w:right w:type="dxa" w:w="90"/>
            </w:tcMar>
          </w:tcPr>
          <w:p>
            <w:pPr>
              <w:spacing w:after="0"/>
            </w:pPr>
            <w:r>
              <w:rPr>
                <w:sz w:val="19"/>
                <w:szCs w:val="19"/>
              </w:rPr>
              <w:t xml:space="preserve">High</w:t>
            </w:r>
          </w:p>
        </w:tc>
        <w:tc>
          <w:tcPr>
            <w:tcW w:type="dxa" w:w="0"/>
            <w:tcMar>
              <w:top w:type="dxa" w:w="60"/>
              <w:left w:type="dxa" w:w="90"/>
              <w:bottom w:type="dxa" w:w="60"/>
              <w:right w:type="dxa" w:w="90"/>
            </w:tcMar>
          </w:tcPr>
          <w:p>
            <w:pPr>
              <w:spacing w:after="0"/>
            </w:pPr>
            <w:r>
              <w:rPr>
                <w:sz w:val="19"/>
                <w:szCs w:val="19"/>
              </w:rPr>
              <w:t xml:space="preserve">Two engineers; documented codebase (open in this repository); research partner co-owns evaluation</w:t>
            </w:r>
          </w:p>
        </w:tc>
      </w:tr>
    </w:tbl>
    <w:p>
      <w:pPr>
        <w:spacing w:after="120"/>
      </w:pPr>
    </w:p>
    <w:p>
      <w:pPr>
        <w:pBdr>
          <w:bottom w:val="single" w:color="CBD5E1" w:sz="6" w:space="1"/>
        </w:pBdr>
        <w:spacing w:after="160"/>
      </w:pPr>
    </w:p>
    <w:p>
      <w:pPr>
        <w:pStyle w:val="Heading1"/>
        <w:spacing w:after="140" w:before="320"/>
      </w:pPr>
      <w:r>
        <w:rPr>
          <w:b/>
          <w:bCs/>
          <w:color w:val="0F766E"/>
          <w:sz w:val="28"/>
          <w:szCs w:val="28"/>
        </w:rPr>
        <w:t xml:space="preserve">13. Timeline (18 months)</w:t>
      </w:r>
    </w:p>
    <w:p>
      <w:pPr>
        <w:keepNext/>
        <w:keepLines/>
        <w:shd w:fill="F1F5F9" w:val="clear"/>
        <w:spacing w:after="0"/>
      </w:pPr>
      <w:r>
        <w:rPr>
          <w:rFonts w:ascii="Consolas" w:cs="Consolas" w:eastAsia="Consolas" w:hAnsi="Consolas"/>
          <w:sz w:val="17"/>
          <w:szCs w:val="17"/>
        </w:rPr>
        <w:t xml:space="preserve">Month:               1  2  3  4  5  6  7  8  9 10 11 12 13 14 15 16 17 18</w:t>
      </w:r>
    </w:p>
    <w:p>
      <w:pPr>
        <w:keepNext/>
        <w:keepLines/>
        <w:shd w:fill="F1F5F9" w:val="clear"/>
        <w:spacing w:after="0"/>
      </w:pPr>
      <w:r>
        <w:rPr>
          <w:rFonts w:ascii="Consolas" w:cs="Consolas" w:eastAsia="Consolas" w:hAnsi="Consolas"/>
          <w:sz w:val="17"/>
          <w:szCs w:val="17"/>
        </w:rPr>
        <w:t xml:space="preserve">Set-up &amp; recruitment ██████</w:t>
      </w:r>
    </w:p>
    <w:p>
      <w:pPr>
        <w:keepNext/>
        <w:keepLines/>
        <w:shd w:fill="F1F5F9" w:val="clear"/>
        <w:spacing w:after="0"/>
      </w:pPr>
      <w:r>
        <w:rPr>
          <w:rFonts w:ascii="Consolas" w:cs="Consolas" w:eastAsia="Consolas" w:hAnsi="Consolas"/>
          <w:sz w:val="17"/>
          <w:szCs w:val="17"/>
        </w:rPr>
        <w:t xml:space="preserve">Baseline &amp; randomise    ██████</w:t>
      </w:r>
    </w:p>
    <w:p>
      <w:pPr>
        <w:keepNext/>
        <w:keepLines/>
        <w:shd w:fill="F1F5F9" w:val="clear"/>
        <w:spacing w:after="0"/>
      </w:pPr>
      <w:r>
        <w:rPr>
          <w:rFonts w:ascii="Consolas" w:cs="Consolas" w:eastAsia="Consolas" w:hAnsi="Consolas"/>
          <w:sz w:val="17"/>
          <w:szCs w:val="17"/>
        </w:rPr>
        <w:t xml:space="preserve">Onboarding A+B             ██████</w:t>
      </w:r>
    </w:p>
    <w:p>
      <w:pPr>
        <w:keepNext/>
        <w:keepLines/>
        <w:shd w:fill="F1F5F9" w:val="clear"/>
        <w:spacing w:after="0"/>
      </w:pPr>
      <w:r>
        <w:rPr>
          <w:rFonts w:ascii="Consolas" w:cs="Consolas" w:eastAsia="Consolas" w:hAnsi="Consolas"/>
          <w:sz w:val="17"/>
          <w:szCs w:val="17"/>
        </w:rPr>
        <w:t xml:space="preserve">Operation A+B (alerts)        ███████████████████████████</w:t>
      </w:r>
    </w:p>
    <w:p>
      <w:pPr>
        <w:keepNext/>
        <w:keepLines/>
        <w:shd w:fill="F1F5F9" w:val="clear"/>
        <w:spacing w:after="0"/>
      </w:pPr>
      <w:r>
        <w:rPr>
          <w:rFonts w:ascii="Consolas" w:cs="Consolas" w:eastAsia="Consolas" w:hAnsi="Consolas"/>
          <w:sz w:val="17"/>
          <w:szCs w:val="17"/>
        </w:rPr>
        <w:t xml:space="preserve">Federation rounds (A)         ███████████████████████████</w:t>
      </w:r>
    </w:p>
    <w:p>
      <w:pPr>
        <w:keepNext/>
        <w:keepLines/>
        <w:shd w:fill="F1F5F9" w:val="clear"/>
        <w:spacing w:after="0"/>
      </w:pPr>
      <w:r>
        <w:rPr>
          <w:rFonts w:ascii="Consolas" w:cs="Consolas" w:eastAsia="Consolas" w:hAnsi="Consolas"/>
          <w:sz w:val="17"/>
          <w:szCs w:val="17"/>
        </w:rPr>
        <w:t xml:space="preserve">Roll-out C, federation B                                 █████████</w:t>
      </w:r>
    </w:p>
    <w:p>
      <w:pPr>
        <w:keepNext/>
        <w:keepLines/>
        <w:shd w:fill="F1F5F9" w:val="clear"/>
        <w:spacing w:after="0"/>
      </w:pPr>
      <w:r>
        <w:rPr>
          <w:rFonts w:ascii="Consolas" w:cs="Consolas" w:eastAsia="Consolas" w:hAnsi="Consolas"/>
          <w:sz w:val="17"/>
          <w:szCs w:val="17"/>
        </w:rPr>
        <w:t xml:space="preserve">Process evaluation                  ██                ██</w:t>
      </w:r>
    </w:p>
    <w:p>
      <w:pPr>
        <w:keepNext/>
        <w:keepLines/>
        <w:shd w:fill="F1F5F9" w:val="clear"/>
        <w:spacing w:after="0"/>
      </w:pPr>
      <w:r>
        <w:rPr>
          <w:rFonts w:ascii="Consolas" w:cs="Consolas" w:eastAsia="Consolas" w:hAnsi="Consolas"/>
          <w:sz w:val="17"/>
          <w:szCs w:val="17"/>
        </w:rPr>
        <w:t xml:space="preserve">Endline data &amp; surveys                                   ██████</w:t>
      </w:r>
    </w:p>
    <w:p>
      <w:pPr>
        <w:keepNext/>
        <w:keepLines/>
        <w:shd w:fill="F1F5F9" w:val="clear"/>
        <w:spacing w:after="0"/>
      </w:pPr>
      <w:r>
        <w:rPr>
          <w:rFonts w:ascii="Consolas" w:cs="Consolas" w:eastAsia="Consolas" w:hAnsi="Consolas"/>
          <w:sz w:val="17"/>
          <w:szCs w:val="17"/>
        </w:rPr>
        <w:t xml:space="preserve">Analysis &amp; CE study                                         ███████████</w:t>
      </w:r>
    </w:p>
    <w:p>
      <w:pPr>
        <w:keepNext/>
        <w:keepLines/>
        <w:shd w:fill="F1F5F9" w:val="clear"/>
        <w:spacing w:after="0"/>
      </w:pPr>
      <w:r>
        <w:rPr>
          <w:rFonts w:ascii="Consolas" w:cs="Consolas" w:eastAsia="Consolas" w:hAnsi="Consolas"/>
          <w:sz w:val="17"/>
          <w:szCs w:val="17"/>
        </w:rPr>
        <w:t xml:space="preserve">Governance workstream            ████████████████████████████████████</w:t>
      </w:r>
    </w:p>
    <w:p>
      <w:pPr>
        <w:keepNext/>
        <w:keepLines/>
        <w:shd w:fill="F1F5F9" w:val="clear"/>
        <w:spacing w:after="0"/>
      </w:pPr>
      <w:r>
        <w:rPr>
          <w:rFonts w:ascii="Consolas" w:cs="Consolas" w:eastAsia="Consolas" w:hAnsi="Consolas"/>
          <w:sz w:val="17"/>
          <w:szCs w:val="17"/>
        </w:rPr>
        <w:t xml:space="preserve">Stage 2 design &amp; proposal                                      ████████</w:t>
      </w:r>
    </w:p>
    <w:p>
      <w:pPr>
        <w:keepNext/>
        <w:keepLines/>
        <w:shd w:fill="F1F5F9" w:val="clear"/>
        <w:spacing w:after="0"/>
      </w:pPr>
      <w:r>
        <w:rPr>
          <w:rFonts w:ascii="Consolas" w:cs="Consolas" w:eastAsia="Consolas" w:hAnsi="Consolas"/>
          <w:sz w:val="17"/>
          <w:szCs w:val="17"/>
        </w:rPr>
        <w:t xml:space="preserve">Reporting to FID              ▲        ▲        ▲        ▲        ▲   ▲</w:t>
      </w:r>
    </w:p>
    <w:p>
      <w:pPr>
        <w:spacing w:after="120"/>
      </w:pPr>
    </w:p>
    <w:p>
      <w:pPr>
        <w:pBdr>
          <w:bottom w:val="single" w:color="CBD5E1" w:sz="6" w:space="1"/>
        </w:pBdr>
        <w:spacing w:after="160"/>
      </w:pPr>
    </w:p>
    <w:p>
      <w:pPr>
        <w:pStyle w:val="Heading1"/>
        <w:spacing w:after="140" w:before="320"/>
      </w:pPr>
      <w:r>
        <w:rPr>
          <w:b/>
          <w:bCs/>
          <w:color w:val="0F766E"/>
          <w:sz w:val="28"/>
          <w:szCs w:val="28"/>
        </w:rPr>
        <w:t xml:space="preserve">14. Pathway to scale and Stage 2</w:t>
      </w:r>
    </w:p>
    <w:tbl>
      <w:tblPr>
        <w:tblW w:type="dxa" w:w="9638"/>
        <w:tblBorders>
          <w:top w:val="single" w:color="CBD5E1" w:sz="4"/>
          <w:left w:val="none" w:sz="0"/>
          <w:bottom w:val="single" w:color="CBD5E1" w:sz="4"/>
          <w:right w:val="none" w:sz="0"/>
          <w:insideH w:val="single" w:color="E2E8F0" w:sz="4"/>
          <w:insideV w:val="none" w:sz="0"/>
        </w:tblBorders>
      </w:tblPr>
      <w:tblGrid>
        <w:gridCol w:w="2604"/>
        <w:gridCol w:w="4823"/>
        <w:gridCol w:w="2211"/>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Step</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What</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When</w:t>
            </w:r>
          </w:p>
        </w:tc>
      </w:tr>
      <w:tr>
        <w:trPr>
          <w:tblHeader w:val="false"/>
        </w:trPr>
        <w:tc>
          <w:tcPr>
            <w:tcW w:type="dxa" w:w="0"/>
            <w:tcMar>
              <w:top w:type="dxa" w:w="60"/>
              <w:left w:type="dxa" w:w="90"/>
              <w:bottom w:type="dxa" w:w="60"/>
              <w:right w:type="dxa" w:w="90"/>
            </w:tcMar>
          </w:tcPr>
          <w:p>
            <w:pPr>
              <w:spacing w:after="0"/>
            </w:pPr>
            <w:r>
              <w:rPr>
                <w:sz w:val="19"/>
                <w:szCs w:val="19"/>
              </w:rPr>
              <w:t xml:space="preserve">Stage 2 impact evaluation (≤ €1.5M)</w:t>
            </w:r>
          </w:p>
        </w:tc>
        <w:tc>
          <w:tcPr>
            <w:tcW w:type="dxa" w:w="0"/>
            <w:tcMar>
              <w:top w:type="dxa" w:w="60"/>
              <w:left w:type="dxa" w:w="90"/>
              <w:bottom w:type="dxa" w:w="60"/>
              <w:right w:type="dxa" w:w="90"/>
            </w:tcMar>
          </w:tcPr>
          <w:p>
            <w:pPr>
              <w:spacing w:after="0"/>
            </w:pPr>
            <w:r>
              <w:rPr>
                <w:sz w:val="19"/>
                <w:szCs w:val="19"/>
              </w:rPr>
              <w:t xml:space="preserve">150–300 institutions, full RCT powered on member-level outcomes, run by the research partner</w:t>
            </w:r>
          </w:p>
        </w:tc>
        <w:tc>
          <w:tcPr>
            <w:tcW w:type="dxa" w:w="0"/>
            <w:tcMar>
              <w:top w:type="dxa" w:w="60"/>
              <w:left w:type="dxa" w:w="90"/>
              <w:bottom w:type="dxa" w:w="60"/>
              <w:right w:type="dxa" w:w="90"/>
            </w:tcMar>
          </w:tcPr>
          <w:p>
            <w:pPr>
              <w:spacing w:after="0"/>
            </w:pPr>
            <w:r>
              <w:rPr>
                <w:sz w:val="19"/>
                <w:szCs w:val="19"/>
              </w:rPr>
              <w:t xml:space="preserve">Months 19–42</w:t>
            </w:r>
          </w:p>
        </w:tc>
      </w:tr>
      <w:tr>
        <w:trPr>
          <w:tblHeader w:val="false"/>
        </w:trPr>
        <w:tc>
          <w:tcPr>
            <w:tcW w:type="dxa" w:w="0"/>
            <w:tcMar>
              <w:top w:type="dxa" w:w="60"/>
              <w:left w:type="dxa" w:w="90"/>
              <w:bottom w:type="dxa" w:w="60"/>
              <w:right w:type="dxa" w:w="90"/>
            </w:tcMar>
          </w:tcPr>
          <w:p>
            <w:pPr>
              <w:spacing w:after="0"/>
            </w:pPr>
            <w:r>
              <w:rPr>
                <w:sz w:val="19"/>
                <w:szCs w:val="19"/>
              </w:rPr>
              <w:t xml:space="preserve">Sector-run hub</w:t>
            </w:r>
          </w:p>
        </w:tc>
        <w:tc>
          <w:tcPr>
            <w:tcW w:type="dxa" w:w="0"/>
            <w:tcMar>
              <w:top w:type="dxa" w:w="60"/>
              <w:left w:type="dxa" w:w="90"/>
              <w:bottom w:type="dxa" w:w="60"/>
              <w:right w:type="dxa" w:w="90"/>
            </w:tcMar>
          </w:tcPr>
          <w:p>
            <w:pPr>
              <w:spacing w:after="0"/>
            </w:pPr>
            <w:r>
              <w:rPr>
                <w:sz w:val="19"/>
                <w:szCs w:val="19"/>
              </w:rPr>
              <w:t xml:space="preserve">Hand-over plan for UMRA or UCSCU to host the aggregation server and model registry; MoU drafted in this pilot</w:t>
            </w:r>
          </w:p>
        </w:tc>
        <w:tc>
          <w:tcPr>
            <w:tcW w:type="dxa" w:w="0"/>
            <w:tcMar>
              <w:top w:type="dxa" w:w="60"/>
              <w:left w:type="dxa" w:w="90"/>
              <w:bottom w:type="dxa" w:w="60"/>
              <w:right w:type="dxa" w:w="90"/>
            </w:tcMar>
          </w:tcPr>
          <w:p>
            <w:pPr>
              <w:spacing w:after="0"/>
            </w:pPr>
            <w:r>
              <w:rPr>
                <w:sz w:val="19"/>
                <w:szCs w:val="19"/>
              </w:rPr>
              <w:t xml:space="preserve">Month 18 deliverable</w:t>
            </w:r>
          </w:p>
        </w:tc>
      </w:tr>
      <w:tr>
        <w:trPr>
          <w:tblHeader w:val="false"/>
        </w:trPr>
        <w:tc>
          <w:tcPr>
            <w:tcW w:type="dxa" w:w="0"/>
            <w:tcMar>
              <w:top w:type="dxa" w:w="60"/>
              <w:left w:type="dxa" w:w="90"/>
              <w:bottom w:type="dxa" w:w="60"/>
              <w:right w:type="dxa" w:w="90"/>
            </w:tcMar>
          </w:tcPr>
          <w:p>
            <w:pPr>
              <w:spacing w:after="0"/>
            </w:pPr>
            <w:r>
              <w:rPr>
                <w:sz w:val="19"/>
                <w:szCs w:val="19"/>
              </w:rPr>
              <w:t xml:space="preserve">Open standards</w:t>
            </w:r>
          </w:p>
        </w:tc>
        <w:tc>
          <w:tcPr>
            <w:tcW w:type="dxa" w:w="0"/>
            <w:tcMar>
              <w:top w:type="dxa" w:w="60"/>
              <w:left w:type="dxa" w:w="90"/>
              <w:bottom w:type="dxa" w:w="60"/>
              <w:right w:type="dxa" w:w="90"/>
            </w:tcMar>
          </w:tcPr>
          <w:p>
            <w:pPr>
              <w:spacing w:after="0"/>
            </w:pPr>
            <w:r>
              <w:rPr>
                <w:sz w:val="19"/>
                <w:szCs w:val="19"/>
              </w:rPr>
              <w:t xml:space="preserve">Tazama (Linux Foundation) integration so detection logic is portable</w:t>
            </w:r>
          </w:p>
        </w:tc>
        <w:tc>
          <w:tcPr>
            <w:tcW w:type="dxa" w:w="0"/>
            <w:tcMar>
              <w:top w:type="dxa" w:w="60"/>
              <w:left w:type="dxa" w:w="90"/>
              <w:bottom w:type="dxa" w:w="60"/>
              <w:right w:type="dxa" w:w="90"/>
            </w:tcMar>
          </w:tcPr>
          <w:p>
            <w:pPr>
              <w:spacing w:after="0"/>
            </w:pPr>
            <w:r>
              <w:rPr>
                <w:sz w:val="19"/>
                <w:szCs w:val="19"/>
              </w:rPr>
              <w:t xml:space="preserve">During Stage 2</w:t>
            </w:r>
          </w:p>
        </w:tc>
      </w:tr>
      <w:tr>
        <w:trPr>
          <w:tblHeader w:val="false"/>
        </w:trPr>
        <w:tc>
          <w:tcPr>
            <w:tcW w:type="dxa" w:w="0"/>
            <w:tcMar>
              <w:top w:type="dxa" w:w="60"/>
              <w:left w:type="dxa" w:w="90"/>
              <w:bottom w:type="dxa" w:w="60"/>
              <w:right w:type="dxa" w:w="90"/>
            </w:tcMar>
          </w:tcPr>
          <w:p>
            <w:pPr>
              <w:spacing w:after="0"/>
            </w:pPr>
            <w:r>
              <w:rPr>
                <w:sz w:val="19"/>
                <w:szCs w:val="19"/>
              </w:rPr>
              <w:t xml:space="preserve">Revenue model</w:t>
            </w:r>
          </w:p>
        </w:tc>
        <w:tc>
          <w:tcPr>
            <w:tcW w:type="dxa" w:w="0"/>
            <w:tcMar>
              <w:top w:type="dxa" w:w="60"/>
              <w:left w:type="dxa" w:w="90"/>
              <w:bottom w:type="dxa" w:w="60"/>
              <w:right w:type="dxa" w:w="90"/>
            </w:tcMar>
          </w:tcPr>
          <w:p>
            <w:pPr>
              <w:spacing w:after="0"/>
            </w:pPr>
            <w:r>
              <w:rPr>
                <w:sz w:val="19"/>
                <w:szCs w:val="19"/>
              </w:rPr>
              <w:t xml:space="preserve">Tiered subscription: free/low-cost for small SACCOs, cross-subsidised by MFIs and banks; pricing tested with pilot institutions at month 12</w:t>
            </w:r>
          </w:p>
        </w:tc>
        <w:tc>
          <w:tcPr>
            <w:tcW w:type="dxa" w:w="0"/>
            <w:tcMar>
              <w:top w:type="dxa" w:w="60"/>
              <w:left w:type="dxa" w:w="90"/>
              <w:bottom w:type="dxa" w:w="60"/>
              <w:right w:type="dxa" w:w="90"/>
            </w:tcMar>
          </w:tcPr>
          <w:p>
            <w:pPr>
              <w:spacing w:after="0"/>
            </w:pPr>
            <w:r>
              <w:rPr>
                <w:sz w:val="19"/>
                <w:szCs w:val="19"/>
              </w:rPr>
              <w:t xml:space="preserve">Month 12–18</w:t>
            </w:r>
          </w:p>
        </w:tc>
      </w:tr>
      <w:tr>
        <w:trPr>
          <w:tblHeader w:val="false"/>
        </w:trPr>
        <w:tc>
          <w:tcPr>
            <w:tcW w:type="dxa" w:w="0"/>
            <w:tcMar>
              <w:top w:type="dxa" w:w="60"/>
              <w:left w:type="dxa" w:w="90"/>
              <w:bottom w:type="dxa" w:w="60"/>
              <w:right w:type="dxa" w:w="90"/>
            </w:tcMar>
          </w:tcPr>
          <w:p>
            <w:pPr>
              <w:spacing w:after="0"/>
            </w:pPr>
            <w:r>
              <w:rPr>
                <w:sz w:val="19"/>
                <w:szCs w:val="19"/>
              </w:rPr>
              <w:t xml:space="preserve">Regional replication</w:t>
            </w:r>
          </w:p>
        </w:tc>
        <w:tc>
          <w:tcPr>
            <w:tcW w:type="dxa" w:w="0"/>
            <w:tcMar>
              <w:top w:type="dxa" w:w="60"/>
              <w:left w:type="dxa" w:w="90"/>
              <w:bottom w:type="dxa" w:w="60"/>
              <w:right w:type="dxa" w:w="90"/>
            </w:tcMar>
          </w:tcPr>
          <w:p>
            <w:pPr>
              <w:spacing w:after="0"/>
            </w:pPr>
            <w:r>
              <w:rPr>
                <w:sz w:val="19"/>
                <w:szCs w:val="19"/>
              </w:rPr>
              <w:t xml:space="preserve">Kenya, Tanzania, Rwanda SACCO sectors</w:t>
            </w:r>
          </w:p>
        </w:tc>
        <w:tc>
          <w:tcPr>
            <w:tcW w:type="dxa" w:w="0"/>
            <w:tcMar>
              <w:top w:type="dxa" w:w="60"/>
              <w:left w:type="dxa" w:w="90"/>
              <w:bottom w:type="dxa" w:w="60"/>
              <w:right w:type="dxa" w:w="90"/>
            </w:tcMar>
          </w:tcPr>
          <w:p>
            <w:pPr>
              <w:spacing w:after="0"/>
            </w:pPr>
            <w:r>
              <w:rPr>
                <w:sz w:val="19"/>
                <w:szCs w:val="19"/>
              </w:rPr>
              <w:t xml:space="preserve">Post-Stage 2</w:t>
            </w:r>
          </w:p>
        </w:tc>
      </w:tr>
    </w:tbl>
    <w:p>
      <w:pPr>
        <w:spacing w:after="120"/>
      </w:pPr>
    </w:p>
    <w:p>
      <w:pPr>
        <w:pBdr>
          <w:bottom w:val="single" w:color="CBD5E1" w:sz="6" w:space="1"/>
        </w:pBdr>
        <w:spacing w:after="160"/>
      </w:pPr>
    </w:p>
    <w:p>
      <w:pPr>
        <w:pStyle w:val="Heading1"/>
        <w:spacing w:after="140" w:before="320"/>
      </w:pPr>
      <w:r>
        <w:rPr>
          <w:b/>
          <w:bCs/>
          <w:color w:val="0F766E"/>
          <w:sz w:val="28"/>
          <w:szCs w:val="28"/>
        </w:rPr>
        <w:t xml:space="preserve">15. Alignment with FID selection criteria</w:t>
      </w:r>
    </w:p>
    <w:tbl>
      <w:tblPr>
        <w:tblW w:type="dxa" w:w="9638"/>
        <w:tblBorders>
          <w:top w:val="single" w:color="CBD5E1" w:sz="4"/>
          <w:left w:val="none" w:sz="0"/>
          <w:bottom w:val="single" w:color="CBD5E1" w:sz="4"/>
          <w:right w:val="none" w:sz="0"/>
          <w:insideH w:val="single" w:color="E2E8F0" w:sz="4"/>
          <w:insideV w:val="none" w:sz="0"/>
        </w:tblBorders>
      </w:tblPr>
      <w:tblGrid>
        <w:gridCol w:w="3853"/>
        <w:gridCol w:w="5785"/>
      </w:tblGrid>
      <w:tr>
        <w:trPr>
          <w:tblHeader/>
        </w:trPr>
        <w:tc>
          <w:tcPr>
            <w:tcW w:type="dxa" w:w="0"/>
            <w:shd w:fill="0F766E" w:val="clear"/>
            <w:tcMar>
              <w:top w:type="dxa" w:w="60"/>
              <w:left w:type="dxa" w:w="90"/>
              <w:bottom w:type="dxa" w:w="60"/>
              <w:right w:type="dxa" w:w="90"/>
            </w:tcMar>
          </w:tcPr>
          <w:p>
            <w:pPr>
              <w:spacing w:after="0"/>
            </w:pPr>
            <w:r>
              <w:rPr>
                <w:b/>
                <w:bCs/>
                <w:color w:val="FFFFFF"/>
                <w:sz w:val="19"/>
                <w:szCs w:val="19"/>
              </w:rPr>
              <w:t xml:space="preserve">FID criterion</w:t>
            </w:r>
          </w:p>
        </w:tc>
        <w:tc>
          <w:tcPr>
            <w:tcW w:type="dxa" w:w="0"/>
            <w:shd w:fill="0F766E" w:val="clear"/>
            <w:tcMar>
              <w:top w:type="dxa" w:w="60"/>
              <w:left w:type="dxa" w:w="90"/>
              <w:bottom w:type="dxa" w:w="60"/>
              <w:right w:type="dxa" w:w="90"/>
            </w:tcMar>
          </w:tcPr>
          <w:p>
            <w:pPr>
              <w:spacing w:after="0"/>
            </w:pPr>
            <w:r>
              <w:rPr>
                <w:b/>
                <w:bCs/>
                <w:color w:val="FFFFFF"/>
                <w:sz w:val="19"/>
                <w:szCs w:val="19"/>
              </w:rPr>
              <w:t xml:space="preserve">How this proposal meets it</w:t>
            </w:r>
          </w:p>
        </w:tc>
      </w:tr>
      <w:tr>
        <w:trPr>
          <w:tblHeader w:val="false"/>
        </w:trPr>
        <w:tc>
          <w:tcPr>
            <w:tcW w:type="dxa" w:w="0"/>
            <w:tcMar>
              <w:top w:type="dxa" w:w="60"/>
              <w:left w:type="dxa" w:w="90"/>
              <w:bottom w:type="dxa" w:w="60"/>
              <w:right w:type="dxa" w:w="90"/>
            </w:tcMar>
          </w:tcPr>
          <w:p>
            <w:pPr>
              <w:spacing w:after="0"/>
            </w:pPr>
            <w:r>
              <w:rPr>
                <w:b/>
                <w:bCs/>
                <w:sz w:val="19"/>
                <w:szCs w:val="19"/>
              </w:rPr>
              <w:t xml:space="preserve">Impact on people living in poverty</w:t>
            </w:r>
          </w:p>
        </w:tc>
        <w:tc>
          <w:tcPr>
            <w:tcW w:type="dxa" w:w="0"/>
            <w:tcMar>
              <w:top w:type="dxa" w:w="60"/>
              <w:left w:type="dxa" w:w="90"/>
              <w:bottom w:type="dxa" w:w="60"/>
              <w:right w:type="dxa" w:w="90"/>
            </w:tcMar>
          </w:tcPr>
          <w:p>
            <w:pPr>
              <w:spacing w:after="0"/>
            </w:pPr>
            <w:r>
              <w:rPr>
                <w:sz w:val="19"/>
                <w:szCs w:val="19"/>
              </w:rPr>
              <w:t xml:space="preserve">Protects savings and credit access of ~18M mostly rural, low-income members; prevents institutional collapse; gender-disaggregated measurement built in.</w:t>
            </w:r>
          </w:p>
        </w:tc>
      </w:tr>
      <w:tr>
        <w:trPr>
          <w:tblHeader w:val="false"/>
        </w:trPr>
        <w:tc>
          <w:tcPr>
            <w:tcW w:type="dxa" w:w="0"/>
            <w:tcMar>
              <w:top w:type="dxa" w:w="60"/>
              <w:left w:type="dxa" w:w="90"/>
              <w:bottom w:type="dxa" w:w="60"/>
              <w:right w:type="dxa" w:w="90"/>
            </w:tcMar>
          </w:tcPr>
          <w:p>
            <w:pPr>
              <w:spacing w:after="0"/>
            </w:pPr>
            <w:r>
              <w:rPr>
                <w:b/>
                <w:bCs/>
                <w:sz w:val="19"/>
                <w:szCs w:val="19"/>
              </w:rPr>
              <w:t xml:space="preserve">Cost-effectiveness</w:t>
            </w:r>
          </w:p>
        </w:tc>
        <w:tc>
          <w:tcPr>
            <w:tcW w:type="dxa" w:w="0"/>
            <w:tcMar>
              <w:top w:type="dxa" w:w="60"/>
              <w:left w:type="dxa" w:w="90"/>
              <w:bottom w:type="dxa" w:w="60"/>
              <w:right w:type="dxa" w:w="90"/>
            </w:tcMar>
          </w:tcPr>
          <w:p>
            <w:pPr>
              <w:spacing w:after="0"/>
            </w:pPr>
            <w:r>
              <w:rPr>
                <w:sz w:val="19"/>
                <w:szCs w:val="19"/>
              </w:rPr>
              <w:t xml:space="preserve">Full costing against measured loss reduction; comparison with manual audit; explicit break-even analysis.</w:t>
            </w:r>
          </w:p>
        </w:tc>
      </w:tr>
      <w:tr>
        <w:trPr>
          <w:tblHeader w:val="false"/>
        </w:trPr>
        <w:tc>
          <w:tcPr>
            <w:tcW w:type="dxa" w:w="0"/>
            <w:tcMar>
              <w:top w:type="dxa" w:w="60"/>
              <w:left w:type="dxa" w:w="90"/>
              <w:bottom w:type="dxa" w:w="60"/>
              <w:right w:type="dxa" w:w="90"/>
            </w:tcMar>
          </w:tcPr>
          <w:p>
            <w:pPr>
              <w:spacing w:after="0"/>
            </w:pPr>
            <w:r>
              <w:rPr>
                <w:b/>
                <w:bCs/>
                <w:sz w:val="19"/>
                <w:szCs w:val="19"/>
              </w:rPr>
              <w:t xml:space="preserve">Potential for scale and sustainability</w:t>
            </w:r>
          </w:p>
        </w:tc>
        <w:tc>
          <w:tcPr>
            <w:tcW w:type="dxa" w:w="0"/>
            <w:tcMar>
              <w:top w:type="dxa" w:w="60"/>
              <w:left w:type="dxa" w:w="90"/>
              <w:bottom w:type="dxa" w:w="60"/>
              <w:right w:type="dxa" w:w="90"/>
            </w:tcMar>
          </w:tcPr>
          <w:p>
            <w:pPr>
              <w:spacing w:after="0"/>
            </w:pPr>
            <w:r>
              <w:rPr>
                <w:sz w:val="19"/>
                <w:szCs w:val="19"/>
              </w:rPr>
              <w:t xml:space="preserve">Federation hub designed as sector infrastructure (UMRA/UCSCU); open-source integration; subscription model tested in pilot; regional replicability.</w:t>
            </w:r>
          </w:p>
        </w:tc>
      </w:tr>
      <w:tr>
        <w:trPr>
          <w:tblHeader w:val="false"/>
        </w:trPr>
        <w:tc>
          <w:tcPr>
            <w:tcW w:type="dxa" w:w="0"/>
            <w:tcMar>
              <w:top w:type="dxa" w:w="60"/>
              <w:left w:type="dxa" w:w="90"/>
              <w:bottom w:type="dxa" w:w="60"/>
              <w:right w:type="dxa" w:w="90"/>
            </w:tcMar>
          </w:tcPr>
          <w:p>
            <w:pPr>
              <w:spacing w:after="0"/>
            </w:pPr>
            <w:r>
              <w:rPr>
                <w:b/>
                <w:bCs/>
                <w:sz w:val="19"/>
                <w:szCs w:val="19"/>
              </w:rPr>
              <w:t xml:space="preserve">Innovation</w:t>
            </w:r>
          </w:p>
        </w:tc>
        <w:tc>
          <w:tcPr>
            <w:tcW w:type="dxa" w:w="0"/>
            <w:tcMar>
              <w:top w:type="dxa" w:w="60"/>
              <w:left w:type="dxa" w:w="90"/>
              <w:bottom w:type="dxa" w:w="60"/>
              <w:right w:type="dxa" w:w="90"/>
            </w:tcMar>
          </w:tcPr>
          <w:p>
            <w:pPr>
              <w:spacing w:after="0"/>
            </w:pPr>
            <w:r>
              <w:rPr>
                <w:sz w:val="19"/>
                <w:szCs w:val="19"/>
              </w:rPr>
              <w:t xml:space="preserve">First federated-learning fraud detection for SACCOs/MFIs in Africa; solves data scarcity and privacy law together.</w:t>
            </w:r>
          </w:p>
        </w:tc>
      </w:tr>
      <w:tr>
        <w:trPr>
          <w:tblHeader w:val="false"/>
        </w:trPr>
        <w:tc>
          <w:tcPr>
            <w:tcW w:type="dxa" w:w="0"/>
            <w:tcMar>
              <w:top w:type="dxa" w:w="60"/>
              <w:left w:type="dxa" w:w="90"/>
              <w:bottom w:type="dxa" w:w="60"/>
              <w:right w:type="dxa" w:w="90"/>
            </w:tcMar>
          </w:tcPr>
          <w:p>
            <w:pPr>
              <w:spacing w:after="0"/>
            </w:pPr>
            <w:r>
              <w:rPr>
                <w:b/>
                <w:bCs/>
                <w:sz w:val="19"/>
                <w:szCs w:val="19"/>
              </w:rPr>
              <w:t xml:space="preserve">Readiness for Stage 1</w:t>
            </w:r>
          </w:p>
        </w:tc>
        <w:tc>
          <w:tcPr>
            <w:tcW w:type="dxa" w:w="0"/>
            <w:tcMar>
              <w:top w:type="dxa" w:w="60"/>
              <w:left w:type="dxa" w:w="90"/>
              <w:bottom w:type="dxa" w:w="60"/>
              <w:right w:type="dxa" w:w="90"/>
            </w:tcMar>
          </w:tcPr>
          <w:p>
            <w:pPr>
              <w:spacing w:after="0"/>
            </w:pPr>
            <w:r>
              <w:rPr>
                <w:sz w:val="19"/>
                <w:szCs w:val="19"/>
              </w:rPr>
              <w:t xml:space="preserve">Prototyped and validated in Stage 0 </w:t>
            </w:r>
            <w:r>
              <w:rPr>
                <w:rFonts w:ascii="Consolas" w:cs="Consolas" w:eastAsia="Consolas" w:hAnsi="Consolas"/>
                <w:sz w:val="19"/>
                <w:szCs w:val="19"/>
                <w:shd w:fill="F1F5F9" w:val="clear"/>
              </w:rPr>
              <w:t xml:space="preserve">[Stage 0 result]</w:t>
            </w:r>
            <w:r>
              <w:rPr>
                <w:sz w:val="19"/>
                <w:szCs w:val="19"/>
              </w:rPr>
              <w:t xml:space="preserve">; ready for real-world testing at scale.</w:t>
            </w:r>
          </w:p>
        </w:tc>
      </w:tr>
      <w:tr>
        <w:trPr>
          <w:tblHeader w:val="false"/>
        </w:trPr>
        <w:tc>
          <w:tcPr>
            <w:tcW w:type="dxa" w:w="0"/>
            <w:tcMar>
              <w:top w:type="dxa" w:w="60"/>
              <w:left w:type="dxa" w:w="90"/>
              <w:bottom w:type="dxa" w:w="60"/>
              <w:right w:type="dxa" w:w="90"/>
            </w:tcMar>
          </w:tcPr>
          <w:p>
            <w:pPr>
              <w:spacing w:after="0"/>
            </w:pPr>
            <w:r>
              <w:rPr>
                <w:b/>
                <w:bCs/>
                <w:sz w:val="19"/>
                <w:szCs w:val="19"/>
              </w:rPr>
              <w:t xml:space="preserve">Rigorous learning design</w:t>
            </w:r>
          </w:p>
        </w:tc>
        <w:tc>
          <w:tcPr>
            <w:tcW w:type="dxa" w:w="0"/>
            <w:tcMar>
              <w:top w:type="dxa" w:w="60"/>
              <w:left w:type="dxa" w:w="90"/>
              <w:bottom w:type="dxa" w:w="60"/>
              <w:right w:type="dxa" w:w="90"/>
            </w:tcMar>
          </w:tcPr>
          <w:p>
            <w:pPr>
              <w:spacing w:after="0"/>
            </w:pPr>
            <w:r>
              <w:rPr>
                <w:sz w:val="19"/>
                <w:szCs w:val="19"/>
              </w:rPr>
              <w:t xml:space="preserve">Cluster-randomised phased roll-out, pre-registered, independent research partner; produces the estimates and power calculations needed for a Stage 2 RCT.</w:t>
            </w:r>
          </w:p>
        </w:tc>
      </w:tr>
      <w:tr>
        <w:trPr>
          <w:tblHeader w:val="false"/>
        </w:trPr>
        <w:tc>
          <w:tcPr>
            <w:tcW w:type="dxa" w:w="0"/>
            <w:tcMar>
              <w:top w:type="dxa" w:w="60"/>
              <w:left w:type="dxa" w:w="90"/>
              <w:bottom w:type="dxa" w:w="60"/>
              <w:right w:type="dxa" w:w="90"/>
            </w:tcMar>
          </w:tcPr>
          <w:p>
            <w:pPr>
              <w:spacing w:after="0"/>
            </w:pPr>
            <w:r>
              <w:rPr>
                <w:b/>
                <w:bCs/>
                <w:sz w:val="19"/>
                <w:szCs w:val="19"/>
              </w:rPr>
              <w:t xml:space="preserve">Priority sectors</w:t>
            </w:r>
          </w:p>
        </w:tc>
        <w:tc>
          <w:tcPr>
            <w:tcW w:type="dxa" w:w="0"/>
            <w:tcMar>
              <w:top w:type="dxa" w:w="60"/>
              <w:left w:type="dxa" w:w="90"/>
              <w:bottom w:type="dxa" w:w="60"/>
              <w:right w:type="dxa" w:w="90"/>
            </w:tcMar>
          </w:tcPr>
          <w:p>
            <w:pPr>
              <w:spacing w:after="0"/>
            </w:pPr>
            <w:r>
              <w:rPr>
                <w:sz w:val="19"/>
                <w:szCs w:val="19"/>
              </w:rPr>
              <w:t xml:space="preserve">Gender-equality dimension via women's reliance on SACCOs </w:t>
            </w:r>
            <w:r>
              <w:rPr>
                <w:rFonts w:ascii="Consolas" w:cs="Consolas" w:eastAsia="Consolas" w:hAnsi="Consolas"/>
                <w:sz w:val="19"/>
                <w:szCs w:val="19"/>
                <w:shd w:fill="F1F5F9" w:val="clear"/>
              </w:rPr>
              <w:t xml:space="preserve">[Stage 0 result: gender analysis]</w:t>
            </w:r>
            <w:r>
              <w:rPr>
                <w:sz w:val="19"/>
                <w:szCs w:val="19"/>
              </w:rPr>
              <w:t xml:space="preserve">; financial resilience of poor households.</w:t>
            </w:r>
          </w:p>
        </w:tc>
      </w:tr>
    </w:tbl>
    <w:p>
      <w:pPr>
        <w:spacing w:after="120"/>
      </w:pPr>
    </w:p>
    <w:p>
      <w:pPr>
        <w:pBdr>
          <w:bottom w:val="single" w:color="CBD5E1" w:sz="6" w:space="1"/>
        </w:pBdr>
        <w:spacing w:after="160"/>
      </w:pPr>
    </w:p>
    <w:p>
      <w:pPr>
        <w:pStyle w:val="Heading1"/>
        <w:spacing w:after="140" w:before="320"/>
      </w:pPr>
      <w:r>
        <w:rPr>
          <w:b/>
          <w:bCs/>
          <w:color w:val="0F766E"/>
          <w:sz w:val="28"/>
          <w:szCs w:val="28"/>
        </w:rPr>
        <w:t xml:space="preserve">16. Annexes to prepare</w:t>
      </w:r>
    </w:p>
    <w:p>
      <w:pPr>
        <w:spacing w:after="60"/>
        <w:ind w:left="360"/>
      </w:pPr>
      <w:r>
        <w:rPr>
          <w:rFonts w:ascii="Segoe UI Symbol" w:cs="Segoe UI Symbol" w:eastAsia="Segoe UI Symbol" w:hAnsi="Segoe UI Symbol"/>
        </w:rPr>
        <w:t xml:space="preserve">☐  </w:t>
      </w:r>
      <w:r>
        <w:t xml:space="preserve">Stage 0 final report (real-data validation, baselines, federated PoC)</w:t>
      </w:r>
    </w:p>
    <w:p>
      <w:pPr>
        <w:spacing w:after="60"/>
        <w:ind w:left="360"/>
      </w:pPr>
      <w:r>
        <w:rPr>
          <w:rFonts w:ascii="Segoe UI Symbol" w:cs="Segoe UI Symbol" w:eastAsia="Segoe UI Symbol" w:hAnsi="Segoe UI Symbol"/>
        </w:rPr>
        <w:t xml:space="preserve">☐  </w:t>
      </w:r>
      <w:r>
        <w:t xml:space="preserve">Letters of intent from ≥ 48 candidate institutions (target 60)</w:t>
      </w:r>
    </w:p>
    <w:p>
      <w:pPr>
        <w:spacing w:after="60"/>
        <w:ind w:left="360"/>
      </w:pPr>
      <w:r>
        <w:rPr>
          <w:rFonts w:ascii="Segoe UI Symbol" w:cs="Segoe UI Symbol" w:eastAsia="Segoe UI Symbol" w:hAnsi="Segoe UI Symbol"/>
        </w:rPr>
        <w:t xml:space="preserve">☐  </w:t>
      </w:r>
      <w:r>
        <w:t xml:space="preserve">Letters of support from UMRA and UCSCU</w:t>
      </w:r>
    </w:p>
    <w:p>
      <w:pPr>
        <w:spacing w:after="60"/>
        <w:ind w:left="360"/>
      </w:pPr>
      <w:r>
        <w:rPr>
          <w:rFonts w:ascii="Segoe UI Symbol" w:cs="Segoe UI Symbol" w:eastAsia="Segoe UI Symbol" w:hAnsi="Segoe UI Symbol"/>
        </w:rPr>
        <w:t xml:space="preserve">☐  </w:t>
      </w:r>
      <w:r>
        <w:t xml:space="preserve">Research partner agreement and CVs of evaluation co-PI</w:t>
      </w:r>
    </w:p>
    <w:p>
      <w:pPr>
        <w:spacing w:after="60"/>
        <w:ind w:left="360"/>
      </w:pPr>
      <w:r>
        <w:rPr>
          <w:rFonts w:ascii="Segoe UI Symbol" w:cs="Segoe UI Symbol" w:eastAsia="Segoe UI Symbol" w:hAnsi="Segoe UI Symbol"/>
        </w:rPr>
        <w:t xml:space="preserve">☐  </w:t>
      </w:r>
      <w:r>
        <w:t xml:space="preserve">Pre-analysis plan draft</w:t>
      </w:r>
    </w:p>
    <w:p>
      <w:pPr>
        <w:spacing w:after="60"/>
        <w:ind w:left="360"/>
      </w:pPr>
      <w:r>
        <w:rPr>
          <w:rFonts w:ascii="Segoe UI Symbol" w:cs="Segoe UI Symbol" w:eastAsia="Segoe UI Symbol" w:hAnsi="Segoe UI Symbol"/>
        </w:rPr>
        <w:t xml:space="preserve">☐  </w:t>
      </w:r>
      <w:r>
        <w:t xml:space="preserve">Ethics approval or submission receipt</w:t>
      </w:r>
    </w:p>
    <w:p>
      <w:pPr>
        <w:spacing w:after="60"/>
        <w:ind w:left="360"/>
      </w:pPr>
      <w:r>
        <w:rPr>
          <w:rFonts w:ascii="Segoe UI Symbol" w:cs="Segoe UI Symbol" w:eastAsia="Segoe UI Symbol" w:hAnsi="Segoe UI Symbol"/>
        </w:rPr>
        <w:t xml:space="preserve">☐  </w:t>
      </w:r>
      <w:r>
        <w:t xml:space="preserve">Data-processing agreement template (DPPA 2019 compliant)</w:t>
      </w:r>
    </w:p>
    <w:p>
      <w:pPr>
        <w:spacing w:after="60"/>
        <w:ind w:left="360"/>
      </w:pPr>
      <w:r>
        <w:rPr>
          <w:rFonts w:ascii="Segoe UI Symbol" w:cs="Segoe UI Symbol" w:eastAsia="Segoe UI Symbol" w:hAnsi="Segoe UI Symbol"/>
        </w:rPr>
        <w:t xml:space="preserve">☐  </w:t>
      </w:r>
      <w:r>
        <w:t xml:space="preserve">Alert communication and staff-fairness protocol</w:t>
      </w:r>
    </w:p>
    <w:p>
      <w:pPr>
        <w:spacing w:after="60"/>
        <w:ind w:left="360"/>
      </w:pPr>
      <w:r>
        <w:rPr>
          <w:rFonts w:ascii="Segoe UI Symbol" w:cs="Segoe UI Symbol" w:eastAsia="Segoe UI Symbol" w:hAnsi="Segoe UI Symbol"/>
        </w:rPr>
        <w:t xml:space="preserve">☐  </w:t>
      </w:r>
      <w:r>
        <w:t xml:space="preserve">Detailed budget in FID template</w:t>
      </w:r>
    </w:p>
    <w:p>
      <w:pPr>
        <w:spacing w:after="60"/>
        <w:ind w:left="360"/>
      </w:pPr>
      <w:r>
        <w:rPr>
          <w:rFonts w:ascii="Segoe UI Symbol" w:cs="Segoe UI Symbol" w:eastAsia="Segoe UI Symbol" w:hAnsi="Segoe UI Symbol"/>
        </w:rPr>
        <w:t xml:space="preserve">☐  </w:t>
      </w:r>
      <w:r>
        <w:t xml:space="preserve">Legal registration documents and financial statements of the applicant</w:t>
      </w:r>
    </w:p>
    <w:p>
      <w:pPr>
        <w:spacing w:after="60"/>
        <w:ind w:left="360"/>
      </w:pPr>
      <w:r>
        <w:rPr>
          <w:rFonts w:ascii="Segoe UI Symbol" w:cs="Segoe UI Symbol" w:eastAsia="Segoe UI Symbol" w:hAnsi="Segoe UI Symbol"/>
        </w:rPr>
        <w:t xml:space="preserve">☐  </w:t>
      </w:r>
      <w:r>
        <w:rPr>
          <w:rFonts w:ascii="Consolas" w:cs="Consolas" w:eastAsia="Consolas" w:hAnsi="Consolas"/>
          <w:sz w:val="18"/>
          <w:szCs w:val="18"/>
          <w:shd w:fill="F1F5F9" w:val="clear"/>
        </w:rPr>
        <w:t xml:space="preserve">docs/FedFraudShield_DSA2026_Paper_v3.pdf</w:t>
      </w:r>
      <w:r>
        <w:t xml:space="preserve"> and link to this repository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FraudShield Uganda  ·  FID Stage 1 Pilot Proposal  ·  Draft,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0F766E"/>
      <w:sz w:val="28"/>
      <w:szCs w:val="28"/>
    </w:rPr>
  </w:style>
  <w:style w:type="paragraph" w:styleId="Heading2">
    <w:name w:val="Heading 2"/>
    <w:basedOn w:val="Normal"/>
    <w:next w:val="Normal"/>
    <w:qFormat/>
    <w:pPr>
      <w:spacing w:after="100" w:before="20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FraudShield Uganda  ·  FID Stage 1 Pilot Proposal  ·  Draft, September 2026</dc:title>
  <dc:creator>FraudShield Uganda</dc:creator>
  <cp:lastModifiedBy>Un-named</cp:lastModifiedBy>
  <cp:revision>1</cp:revision>
  <dcterms:created xsi:type="dcterms:W3CDTF">2026-09-26T07:15:22.916Z</dcterms:created>
  <dcterms:modified xsi:type="dcterms:W3CDTF">2026-09-26T07:15:22.916Z</dcterms:modified>
</cp:coreProperties>
</file>

<file path=docProps/custom.xml><?xml version="1.0" encoding="utf-8"?>
<Properties xmlns="http://schemas.openxmlformats.org/officeDocument/2006/custom-properties" xmlns:vt="http://schemas.openxmlformats.org/officeDocument/2006/docPropsVTypes"/>
</file>