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6400"/>
          <w:sz w:val="40"/>
        </w:rPr>
        <w:t>HEATSHIELD AGRI</w:t>
      </w:r>
    </w:p>
    <w:p>
      <w:pPr>
        <w:jc w:val="center"/>
      </w:pPr>
      <w:r>
        <w:rPr>
          <w:color w:val="505050"/>
          <w:sz w:val="28"/>
        </w:rPr>
        <w:t>AI-Powered Heat Stress Early Warning System</w:t>
      </w:r>
    </w:p>
    <w:p>
      <w:pPr>
        <w:jc w:val="center"/>
      </w:pPr>
      <w:r>
        <w:rPr>
          <w:b/>
          <w:sz w:val="32"/>
        </w:rPr>
        <w:t>INTERVIEW Q&amp;A REFERENCE</w:t>
      </w:r>
    </w:p>
    <w:p>
      <w:pPr>
        <w:jc w:val="center"/>
      </w:pPr>
      <w:r>
        <w:rPr>
          <w:color w:val="505050"/>
          <w:sz w:val="24"/>
        </w:rPr>
        <w:t>Activate AI: Economic Opportunity Challenge</w:t>
      </w:r>
    </w:p>
    <w:tbl>
      <w:tblPr>
        <w:tblW w:type="auto" w:w="0"/>
        <w:jc w:val="center"/>
        <w:tblLook w:firstColumn="1" w:firstRow="1" w:lastColumn="0" w:lastRow="0" w:noHBand="0" w:noVBand="1" w:val="04A0"/>
      </w:tblPr>
      <w:tblGrid>
        <w:gridCol w:w="8640"/>
      </w:tblGrid>
      <w:tr>
        <w:tc>
          <w:tcPr>
            <w:tcW w:type="dxa" w:w="8640"/>
            <w:shd w:fill="F0F0F0" w:val="clear"/>
          </w:tcPr>
          <w:p>
            <w:r>
              <w:t>Prepared for: Raymond Reuel Wayesu</w:t>
              <w:br/>
              <w:t>Organisation: Wayesu Community Research Organisation Ltd</w:t>
              <w:br/>
              <w:t>Interview: March 9, 2026, 21:00 EAT</w:t>
              <w:br/>
              <w:t>Format: 5 min intro + 10 min pitch + 30 min Q&amp;A</w:t>
            </w:r>
          </w:p>
        </w:tc>
      </w:tr>
    </w:tbl>
    <w:p/>
    <w:p>
      <w:pPr>
        <w:pStyle w:val="Heading1"/>
      </w:pPr>
      <w:r>
        <w:t>1. Technical &amp; AI Questions</w:t>
      </w:r>
    </w:p>
    <w:tbl>
      <w:tblPr>
        <w:tblW w:type="auto" w:w="0"/>
        <w:jc w:val="left"/>
        <w:tblLook w:firstColumn="1" w:firstRow="1" w:lastColumn="0" w:lastRow="0" w:noHBand="0" w:noVBand="1" w:val="04A0"/>
      </w:tblPr>
      <w:tblGrid>
        <w:gridCol w:w="8640"/>
      </w:tblGrid>
      <w:tr>
        <w:tc>
          <w:tcPr>
            <w:tcW w:type="dxa" w:w="8640"/>
            <w:shd w:fill="E8F5E9" w:val="clear"/>
          </w:tcPr>
          <w:p>
            <w:r/>
            <w:r>
              <w:rPr>
                <w:b/>
                <w:sz w:val="22"/>
              </w:rPr>
              <w:t>How accurate are your WBGT predictions?</w:t>
            </w:r>
          </w:p>
        </w:tc>
      </w:tr>
      <w:tr>
        <w:tc>
          <w:tcPr>
            <w:tcW w:type="dxa" w:w="8640"/>
          </w:tcPr>
          <w:p>
            <w:r>
              <w:t>Our predictions use the ISO 7243 WBGT calculation standard—the internationally recognized method for occupational heat assessment. We combine multiple data sources including Open-Meteo weather forecasts (ECMWF and GFS models), SRTM terrain data, and spatial interpolation algorithms. We display uncertainty bounds with every prediction and use conservative thresholds that err toward caution. During the pilot phase, we'll collect ground-truth data to quantify actual prediction error and continuously improve calibration.</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Why did you choose Random Forest with a physics-first architecture?</w:t>
            </w:r>
          </w:p>
        </w:tc>
      </w:tr>
      <w:tr>
        <w:tc>
          <w:tcPr>
            <w:tcW w:type="dxa" w:w="8640"/>
          </w:tcPr>
          <w:p>
            <w:r>
              <w:t>Random Forest excels at tabular weather data—temperature, humidity, wind speed, terrain features—capturing complex feature interactions with high interpretability that agricultural stakeholders can trust. It is computationally efficient and requires no GPU infrastructure, which is essential for sustainable operations in our context. We deploy the trained models via ONNX Runtime, enabling cross-platform native C++ inference on Android and browser-based inference on the web. The physics-first architecture ensures strict ISO 7243 compliance: physics calculations provide the foundational WBGT estimates, while Random Forest validates and enhances those predictions using a 17-feature engineering pipeline (lag features, cyclical encodings, rolling statistics, and delta calculations). This hybrid approach prevents physically impossible predictions while leveraging ML to improve accuracy.</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Is the AI/ML model trained and deployed?</w:t>
            </w:r>
          </w:p>
        </w:tc>
      </w:tr>
      <w:tr>
        <w:tc>
          <w:tcPr>
            <w:tcW w:type="dxa" w:w="8640"/>
          </w:tcPr>
          <w:p>
            <w:r>
              <w:t>Yes—the model is fully trained and deployed on both web and Android platforms. We have 3 ONNX models in production: the core Random Forest WBGT prediction model, a feature preprocessing model, and a post-processing calibration model. These are served via ONNX Runtime for native C++ inference on Android and browser inference on the web, ensuring fast, offline-capable predictions without requiring server-side computation for each request.</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How does the work schedule optimizer function?</w:t>
            </w:r>
          </w:p>
        </w:tc>
      </w:tr>
      <w:tr>
        <w:tc>
          <w:tcPr>
            <w:tcW w:type="dxa" w:w="8640"/>
          </w:tcPr>
          <w:p>
            <w:r>
              <w:t>The optimizer analyzes the 72-hour WBGT forecast and identifies all hours below the recommended work threshold for moderate agricultural work (ISO 7243 categories). It applies practical constraints: farmers need 6-8 productive hours, prefer contiguous blocks, and work during daylight. The output is specific recommendations like '5:00 AM - 11:00 AM, then 4:00 PM - 6:30 PM' with estimated safe work hours per day. This is a constraint satisfaction problem—it's 'AI' in the sense of automated intelligent analysis processing thousands of forecast combinations that humans couldn't manually analyze.</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What happens when predictions are wrong?</w:t>
            </w:r>
          </w:p>
        </w:tc>
      </w:tr>
      <w:tr>
        <w:tc>
          <w:tcPr>
            <w:tcW w:type="dxa" w:w="8640"/>
          </w:tcPr>
          <w:p>
            <w:r>
              <w:t>We design for this scenario explicitly. Every alert includes guidance to 'listen to your body' and recognize heat illness symptoms regardless of predictions. We use conservative thresholds that minimize false negatives (predicted safe but actually dangerous). We implement a feedback loop where users report via SMS whether conditions matched predictions, enabling continuous model improvement. Systematic errors trigger recalibration. The pilot phase explicitly validates prediction accuracy before scaling.</w:t>
            </w:r>
          </w:p>
        </w:tc>
      </w:tr>
    </w:tbl>
    <w:p/>
    <w:p>
      <w:pPr>
        <w:pStyle w:val="Heading1"/>
      </w:pPr>
      <w:r>
        <w:t>2. Impact &amp; Reach Questions</w:t>
      </w:r>
    </w:p>
    <w:tbl>
      <w:tblPr>
        <w:tblW w:type="auto" w:w="0"/>
        <w:jc w:val="left"/>
        <w:tblLook w:firstColumn="1" w:firstRow="1" w:lastColumn="0" w:lastRow="0" w:noHBand="0" w:noVBand="1" w:val="04A0"/>
      </w:tblPr>
      <w:tblGrid>
        <w:gridCol w:w="8640"/>
      </w:tblGrid>
      <w:tr>
        <w:tc>
          <w:tcPr>
            <w:tcW w:type="dxa" w:w="8640"/>
            <w:shd w:fill="E8F5E9" w:val="clear"/>
          </w:tcPr>
          <w:p>
            <w:r/>
            <w:r>
              <w:rPr>
                <w:b/>
                <w:sz w:val="22"/>
              </w:rPr>
              <w:t>How will you reach farmers without smartphones?</w:t>
            </w:r>
          </w:p>
        </w:tc>
      </w:tr>
      <w:tr>
        <w:tc>
          <w:tcPr>
            <w:tcW w:type="dxa" w:w="8640"/>
          </w:tcPr>
          <w:p>
            <w:r>
              <w:t>This is exactly why USSD/SMS is a primary channel, not an afterthought. USSD works on any basic feature phone without internet. Farmers dial *384*HEAT# and navigate simple numbered menus to check heat risk, get forecasts, or register for alerts. SMS messages are simple, actionable, in local languages: 'HIGH HEAT TODAY. Work 5AM-10AM only. Rest midday. Drink water every 30 min.' For farmers without any phone, extension workers and cooperative leaders share information through community gatherings. No internet required—USSD and SMS work on 2G networks covering nearly all of Uganda.</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How will you reach 10,000 farmers in 12 months?</w:t>
            </w:r>
          </w:p>
        </w:tc>
      </w:tr>
      <w:tr>
        <w:tc>
          <w:tcPr>
            <w:tcW w:type="dxa" w:w="8640"/>
          </w:tcPr>
          <w:p>
            <w:r>
              <w:t>We plug into existing infrastructure with trusted relationships. UNFFE's cooperative networks in target districts become distribution partners—we estimate 3-4 cooperatives with 500-2000 members each. We train 10 extension workers who each work with ~100 farmer groups, registering farmers during routine visits. Once registered, SMS delivery is automated. Growth model: Months 1-3 = 500 farmers (proving the model), Months 4-6 = 2,000 (pilot expansion), Months 7-12 = 10,000 (adding districts, word-of-mouth). We grow through trusted networks, not cold outreach.</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How do you measure actual health impact?</w:t>
            </w:r>
          </w:p>
        </w:tc>
      </w:tr>
      <w:tr>
        <w:tc>
          <w:tcPr>
            <w:tcW w:type="dxa" w:w="8640"/>
          </w:tcPr>
          <w:p>
            <w:r>
              <w:t>Behavior change is our primary outcome—measurable and causally linked to health protection. We measure: (1) Self-reported work schedule changes, water intake, and shade-seeking via monthly SMS check-ins and surveys; (2) Heat illness symptoms at baseline and endline, comparing users vs. non-users; (3) Health facility data on heat-related visits; (4) Productivity metrics including workdays lost. Our Makerere University partnership ensures rigorous evaluation methodology with treatment and comparison groups.</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How do you ensure equitable reach for women farmers?</w:t>
            </w:r>
          </w:p>
        </w:tc>
      </w:tr>
      <w:tr>
        <w:tc>
          <w:tcPr>
            <w:tcW w:type="dxa" w:w="8640"/>
          </w:tcPr>
          <w:p>
            <w:r>
              <w:t>Women face higher heat stress risk (PSI 3.28 vs 2.9 for men) but often have less phone access. We partner with women's farming groups that have existing meeting structures. For households where phones are shared or controlled by men, cooperative-level alerts ensure women learn about heat risk through group meetings. We track registration and engagement by gender and adjust outreach if gaps emerge. Our Farmer Advisory Committee includes women farmers who guide message design and intervention strategies.</w:t>
            </w:r>
          </w:p>
        </w:tc>
      </w:tr>
    </w:tbl>
    <w:p/>
    <w:p>
      <w:pPr>
        <w:pStyle w:val="Heading1"/>
      </w:pPr>
      <w:r>
        <w:t>3. Team &amp; Execution Questions</w:t>
      </w:r>
    </w:p>
    <w:tbl>
      <w:tblPr>
        <w:tblW w:type="auto" w:w="0"/>
        <w:jc w:val="left"/>
        <w:tblLook w:firstColumn="1" w:firstRow="1" w:lastColumn="0" w:lastRow="0" w:noHBand="0" w:noVBand="1" w:val="04A0"/>
      </w:tblPr>
      <w:tblGrid>
        <w:gridCol w:w="8640"/>
      </w:tblGrid>
      <w:tr>
        <w:tc>
          <w:tcPr>
            <w:tcW w:type="dxa" w:w="8640"/>
            <w:shd w:fill="E8F5E9" w:val="clear"/>
          </w:tcPr>
          <w:p>
            <w:r/>
            <w:r>
              <w:rPr>
                <w:b/>
                <w:sz w:val="22"/>
              </w:rPr>
              <w:t>Can you execute this as a solo founder?</w:t>
            </w:r>
          </w:p>
        </w:tc>
      </w:tr>
      <w:tr>
        <w:tc>
          <w:tcPr>
            <w:tcW w:type="dxa" w:w="8640"/>
          </w:tcPr>
          <w:p>
            <w:r>
              <w:t>The MVP was built solo, demonstrating execution capability. But the 12-month plan doesn't rely on me doing everything alone. I handle technical development, ML models, architecture, partnerships, and fundraising—my core competencies from 10+ years of research work. The $47K personnel budget funds a part-time developer and extension worker payments. Partners contribute: UNFFE provides cooperative access, extension workers do farmer training, Makerere provides research support. We're building a system that scales through automation (SMS) and existing human infrastructure, not through me personally reaching farmers.</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What qualifies you to lead this?</w:t>
            </w:r>
          </w:p>
        </w:tc>
      </w:tr>
      <w:tr>
        <w:tc>
          <w:tcPr>
            <w:tcW w:type="dxa" w:w="8640"/>
          </w:tcPr>
          <w:p>
            <w:r>
              <w:t>Raymond Reuel Wayesu brings a rare combination: 10+ years as biostatistician at Uganda Virus Research Institute (health research and Uganda health systems expertise); MSc Statistics from Linkoping University (rigorous statistical training); current PhD in Machine Learning/Computer Vision (why I can build ML systems, not just talk about them); technical stack proficiency in R, Python, Rust, TypeScript. I built the entire HeatShield MVP myself. I understand health systems, statistical methods, ML implementation, and Uganda's context—a unique intersection that positions me for this specific challenge.</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What's the status of your partnerships?</w:t>
            </w:r>
          </w:p>
        </w:tc>
      </w:tr>
      <w:tr>
        <w:tc>
          <w:tcPr>
            <w:tcW w:type="dxa" w:w="8640"/>
          </w:tcPr>
          <w:p>
            <w:r>
              <w:t>I want to be transparent: these are planned partnerships with preliminary conversations, not signed MOUs. This is typical at pre-funding stage. UNFFE is interested but waiting for funding confirmation. MAAIF (government) rarely commits before projects are funded. Makerere has research collaboration interest pending project scope. Africa's Talking is commercial—pay-per-use, already integrated in MVP. Months 1-3 explicitly include partnership formalization as a key deliverable. The relationships are real; the paperwork comes after the grant.</w:t>
            </w:r>
          </w:p>
        </w:tc>
      </w:tr>
    </w:tbl>
    <w:p/>
    <w:p>
      <w:pPr>
        <w:pStyle w:val="Heading1"/>
      </w:pPr>
      <w:r>
        <w:t>4. Sustainability &amp; Scale Questions</w:t>
      </w:r>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What's your revenue model after the grant?</w:t>
            </w:r>
          </w:p>
        </w:tc>
      </w:tr>
      <w:tr>
        <w:tc>
          <w:tcPr>
            <w:tcW w:type="dxa" w:w="8640"/>
          </w:tcPr>
          <w:p>
            <w:r>
              <w:t>Basic alerts to individual farmers remain FREE forever—this is a public good subsidized by other revenue. B2B dashboards ($50-200/month) serve cooperatives, export companies (EU supply chain compliance), and large farms needing documentation. Institutional partnerships with Ministry of Agriculture, World Bank projects, and USAID programs pay for tools their programs use. Climate adaptation funding from Green Climate Fund, Adaptation Fund, and bilateral programs support exactly this infrastructure. Cost efficiency advantage: $0.30/farmer/year for SMS means even modest revenue covers massive reach.</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How does this scale beyond Uganda?</w:t>
            </w:r>
          </w:p>
        </w:tc>
      </w:tr>
      <w:tr>
        <w:tc>
          <w:tcPr>
            <w:tcW w:type="dxa" w:w="8640"/>
          </w:tcPr>
          <w:p>
            <w:r>
              <w:t>The architecture is designed for replication from day one. Weather data sources (Open-Meteo, ICPAC) cover all East Africa. WBGT calculations are universal physics. SMS/USSD infrastructure exists everywhere. Only configuration changes are needed for new regions. East Africa has 100+ million agricultural workers facing similar challenges—Kenya, Tanzania, Rwanda, Ethiopia have the same climate patterns and phone infrastructure. Our open-source strategy (MIT license) enables other organizations to deploy in their contexts. We provide the toolkit; we don't gatekeep the technology.</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What if farmers don't change behavior despite alerts?</w:t>
            </w:r>
          </w:p>
        </w:tc>
      </w:tr>
      <w:tr>
        <w:tc>
          <w:tcPr>
            <w:tcW w:type="dxa" w:w="8640"/>
          </w:tcPr>
          <w:p>
            <w:r>
              <w:t>We don't assume automatic behavior change. Our approach: Economic framing shows farmers how to maintain productivity while avoiding dangerous hours—we say 'work smarter' not 'don't work.' Trusted messengers (extension workers, cooperative leaders) deliver information through pre-established relationships. Social proof builds as early adopters report benefits. Iterative messaging adjusts based on what works—if text doesn't drive change, we add voice; if daily alerts cause fatigue, we adjust frequency. Evidence from Kenya shows SMS agricultural advisories achieve 11.5% yield increases—behavior change through mobile messaging is proven.</w:t>
            </w:r>
          </w:p>
        </w:tc>
      </w:tr>
    </w:tbl>
    <w:p/>
    <w:p>
      <w:pPr>
        <w:pStyle w:val="Heading1"/>
      </w:pPr>
      <w:r>
        <w:t>5. Responsible AI Questions</w:t>
      </w:r>
    </w:p>
    <w:tbl>
      <w:tblPr>
        <w:tblW w:type="auto" w:w="0"/>
        <w:jc w:val="left"/>
        <w:tblLook w:firstColumn="1" w:firstRow="1" w:lastColumn="0" w:lastRow="0" w:noHBand="0" w:noVBand="1" w:val="04A0"/>
      </w:tblPr>
      <w:tblGrid>
        <w:gridCol w:w="8640"/>
      </w:tblGrid>
      <w:tr>
        <w:tc>
          <w:tcPr>
            <w:tcW w:type="dxa" w:w="8640"/>
            <w:shd w:fill="E8F5E9" w:val="clear"/>
          </w:tcPr>
          <w:p>
            <w:r/>
            <w:r>
              <w:rPr>
                <w:b/>
                <w:sz w:val="22"/>
              </w:rPr>
              <w:t>How do you handle farmer data privacy?</w:t>
            </w:r>
          </w:p>
        </w:tc>
      </w:tr>
      <w:tr>
        <w:tc>
          <w:tcPr>
            <w:tcW w:type="dxa" w:w="8640"/>
          </w:tcPr>
          <w:p>
            <w:r>
              <w:t>Data minimization is our core principle—we collect only phone number (for SMS) and district (for localized forecasts). No personal health information. Symptom surveys are anonymized research data, not linked to phone numbers. Phone numbers are hashed for storage, decrypted only for SMS sending. TLS encryption for all transmission. Users actively opt-in with clear local-language explanation of data use. Easy opt-out via SMS. User information is never sold or shared with third parties. We'll establish a data governance committee including farmer representatives.</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How do you address AI bias?</w:t>
            </w:r>
          </w:p>
        </w:tc>
      </w:tr>
      <w:tr>
        <w:tc>
          <w:tcPr>
            <w:tcW w:type="dxa" w:w="8640"/>
          </w:tcPr>
          <w:p>
            <w:r>
              <w:t>We proactively address multiple bias types. Geographic bias: We use ICPAC regional forecasts calibrated for East Africa and validate against local observations. Coverage bias: Predictions cover all pilot districts equally, including remote sub-counties. Access bias: USSD/SMS channels work on any phone, and cooperative-level sharing reaches non-phone-owners. Gender bias: We track engagement by gender and adjust outreach if women are underrepresented. Continuous monitoring: Bias testing is ongoing—we analyze whether prediction accuracy varies by district and adjust accordingly.</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What about environmental impact of your AI?</w:t>
            </w:r>
          </w:p>
        </w:tc>
      </w:tr>
      <w:tr>
        <w:tc>
          <w:tcPr>
            <w:tcW w:type="dxa" w:w="8640"/>
          </w:tcPr>
          <w:p>
            <w:r>
              <w:t>Lightweight by design: Random Forest and spatial interpolation, not GPU-intensive deep learning. The Random Forest models are deployed via ONNX Runtime for efficient native inference—no GPU required. Pre-calculated forecasts are cached and served, avoiding on-demand inference for each request. The environmental cost is negligible compared to climate adaptation benefits delivered—we're helping millions adapt to climate change. Cloud providers (Vercel, AWS) have renewable energy commitments. We'll measure and report carbon footprint annually, and explore edge computing as we scale.</w:t>
            </w:r>
          </w:p>
        </w:tc>
      </w:tr>
    </w:tbl>
    <w:p/>
    <w:p>
      <w:pPr>
        <w:pStyle w:val="Heading1"/>
      </w:pPr>
      <w:r>
        <w:t>6. Strategic Questions</w:t>
      </w:r>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Why hasn't anyone built this already?</w:t>
            </w:r>
          </w:p>
        </w:tc>
      </w:tr>
      <w:tr>
        <w:tc>
          <w:tcPr>
            <w:tcW w:type="dxa" w:w="8640"/>
          </w:tcPr>
          <w:p>
            <w:r>
              <w:t>Several factors explain this gap: Climate services focus on rainfall (drought, flood)—heat stress falls between climate and health sectors with nobody's core mandate. In smallholder agriculture, there's no employer to provide heat protection—farmers need institutional support. Previous approaches assumed smartphone apps, excluding most farmers. This challenge requires climate science + ML + mobile tech + agricultural extension + health research expertise—a rare combination. VCs don't fund public goods for poor farmers; development funders haven't prioritized occupational heat. Programs like Activate AI fill exactly this gap.</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What if government wants to take over your system?</w:t>
            </w:r>
          </w:p>
        </w:tc>
      </w:tr>
      <w:tr>
        <w:tc>
          <w:tcPr>
            <w:tcW w:type="dxa" w:w="8640"/>
          </w:tcPr>
          <w:p>
            <w:r>
              <w:t>That would be success, not failure! Government adoption means sustainable, institutionalized protection for all farmers. Our open-source code enables this—if MAAIF wants to integrate alerts into official services, they can. We'd become technical advisors or pivot to other countries while Uganda runs its own system. Realistic timeline: government tech adoption takes years, giving us time to demonstrate impact and expand regionally. Our mission is protecting farmers, not building a company. Government institutionalization achieves our mission at scale.</w:t>
            </w:r>
          </w:p>
        </w:tc>
      </w:tr>
    </w:tbl>
    <w:p/>
    <w:tbl>
      <w:tblPr>
        <w:tblW w:type="auto" w:w="0"/>
        <w:jc w:val="left"/>
        <w:tblLook w:firstColumn="1" w:firstRow="1" w:lastColumn="0" w:lastRow="0" w:noHBand="0" w:noVBand="1" w:val="04A0"/>
      </w:tblPr>
      <w:tblGrid>
        <w:gridCol w:w="8640"/>
      </w:tblGrid>
      <w:tr>
        <w:tc>
          <w:tcPr>
            <w:tcW w:type="dxa" w:w="8640"/>
            <w:shd w:fill="E8F5E9" w:val="clear"/>
          </w:tcPr>
          <w:p>
            <w:r/>
            <w:r>
              <w:rPr>
                <w:b/>
                <w:sz w:val="22"/>
              </w:rPr>
              <w:t>What if you don't win this grant?</w:t>
            </w:r>
          </w:p>
        </w:tc>
      </w:tr>
      <w:tr>
        <w:tc>
          <w:tcPr>
            <w:tcW w:type="dxa" w:w="8640"/>
          </w:tcPr>
          <w:p>
            <w:r>
              <w:t>This grant is important but not existential. The MVP is built and running. I'm pursuing IKI Small Grants (EUR 60-200K), ESTDEV (EUR 50-150K), UNICEF Venture Fund ($100K), and others—multiple applications are active. Without major funding, I'd run a smaller pilot with personal resources and UVRI networks. I could pursue academic funding through my PhD program. Core work continues regardless: weather data is free, hosting costs are minimal. Grant funding accelerates scale; it doesn't determine existence.</w:t>
            </w:r>
          </w:p>
        </w:tc>
      </w:tr>
    </w:tbl>
    <w:p/>
    <w:p>
      <w:pPr>
        <w:pStyle w:val="Heading1"/>
      </w:pPr>
      <w:r>
        <w:t>Key Messages Summary</w:t>
      </w:r>
    </w:p>
    <w:tbl>
      <w:tblPr>
        <w:tblW w:type="auto" w:w="0"/>
        <w:jc w:val="left"/>
        <w:tblLook w:firstColumn="1" w:firstRow="1" w:lastColumn="0" w:lastRow="0" w:noHBand="0" w:noVBand="1" w:val="04A0"/>
      </w:tblPr>
      <w:tblGrid>
        <w:gridCol w:w="4320"/>
        <w:gridCol w:w="4320"/>
      </w:tblGrid>
      <w:tr>
        <w:tc>
          <w:tcPr>
            <w:tcW w:type="dxa" w:w="4320"/>
            <w:shd w:fill="2E7D32" w:val="clear"/>
          </w:tcPr>
          <w:p>
            <w:r/>
            <w:r>
              <w:rPr>
                <w:b/>
                <w:color w:val="FFFFFF"/>
              </w:rPr>
              <w:t>Theme</w:t>
            </w:r>
          </w:p>
        </w:tc>
        <w:tc>
          <w:tcPr>
            <w:tcW w:type="dxa" w:w="4320"/>
            <w:shd w:fill="2E7D32" w:val="clear"/>
          </w:tcPr>
          <w:p>
            <w:r/>
            <w:r>
              <w:rPr>
                <w:b/>
                <w:color w:val="FFFFFF"/>
              </w:rPr>
              <w:t>Key Message</w:t>
            </w:r>
          </w:p>
        </w:tc>
      </w:tr>
      <w:tr>
        <w:tc>
          <w:tcPr>
            <w:tcW w:type="dxa" w:w="4320"/>
            <w:shd w:fill="F5F5F5" w:val="clear"/>
          </w:tcPr>
          <w:p>
            <w:r>
              <w:t>Working MVP</w:t>
            </w:r>
          </w:p>
        </w:tc>
        <w:tc>
          <w:tcPr>
            <w:tcW w:type="dxa" w:w="4320"/>
            <w:shd w:fill="F5F5F5" w:val="clear"/>
          </w:tcPr>
          <w:p>
            <w:r>
              <w:t>Live at heatshieldagri.vercel.app -- proof of execution, not just plans</w:t>
            </w:r>
          </w:p>
        </w:tc>
      </w:tr>
      <w:tr>
        <w:tc>
          <w:tcPr>
            <w:tcW w:type="dxa" w:w="4320"/>
          </w:tcPr>
          <w:p>
            <w:r>
              <w:t>Unserved Market</w:t>
            </w:r>
          </w:p>
        </w:tc>
        <w:tc>
          <w:tcPr>
            <w:tcW w:type="dxa" w:w="4320"/>
          </w:tcPr>
          <w:p>
            <w:r>
              <w:t>12.4M agricultural workers with zero existing heat protection</w:t>
            </w:r>
          </w:p>
        </w:tc>
      </w:tr>
      <w:tr>
        <w:tc>
          <w:tcPr>
            <w:tcW w:type="dxa" w:w="4320"/>
            <w:shd w:fill="F5F5F5" w:val="clear"/>
          </w:tcPr>
          <w:p>
            <w:r>
              <w:t>Proven Science</w:t>
            </w:r>
          </w:p>
        </w:tc>
        <w:tc>
          <w:tcPr>
            <w:tcW w:type="dxa" w:w="4320"/>
            <w:shd w:fill="F5F5F5" w:val="clear"/>
          </w:tcPr>
          <w:p>
            <w:r>
              <w:t>ISO 7243 standard + Random Forest ML -- innovation is application</w:t>
            </w:r>
          </w:p>
        </w:tc>
      </w:tr>
      <w:tr>
        <w:tc>
          <w:tcPr>
            <w:tcW w:type="dxa" w:w="4320"/>
          </w:tcPr>
          <w:p>
            <w:r>
              <w:t>Inclusive Design</w:t>
            </w:r>
          </w:p>
        </w:tc>
        <w:tc>
          <w:tcPr>
            <w:tcW w:type="dxa" w:w="4320"/>
          </w:tcPr>
          <w:p>
            <w:r>
              <w:t>USSD/SMS for feature phones, local languages, gender equity focus</w:t>
            </w:r>
          </w:p>
        </w:tc>
      </w:tr>
      <w:tr>
        <w:tc>
          <w:tcPr>
            <w:tcW w:type="dxa" w:w="4320"/>
            <w:shd w:fill="F5F5F5" w:val="clear"/>
          </w:tcPr>
          <w:p>
            <w:r>
              <w:t>Regional Scale</w:t>
            </w:r>
          </w:p>
        </w:tc>
        <w:tc>
          <w:tcPr>
            <w:tcW w:type="dxa" w:w="4320"/>
            <w:shd w:fill="F5F5F5" w:val="clear"/>
          </w:tcPr>
          <w:p>
            <w:r>
              <w:t>Uganda proves concept for 100M+ East African workers</w:t>
            </w:r>
          </w:p>
        </w:tc>
      </w:tr>
      <w:tr>
        <w:tc>
          <w:tcPr>
            <w:tcW w:type="dxa" w:w="4320"/>
          </w:tcPr>
          <w:p>
            <w:r>
              <w:t>Sustainability</w:t>
            </w:r>
          </w:p>
        </w:tc>
        <w:tc>
          <w:tcPr>
            <w:tcW w:type="dxa" w:w="4320"/>
          </w:tcPr>
          <w:p>
            <w:r>
              <w:t>Freemium model: free farmer alerts, paid institutional dashboards</w:t>
            </w:r>
          </w:p>
        </w:tc>
      </w:tr>
      <w:tr>
        <w:tc>
          <w:tcPr>
            <w:tcW w:type="dxa" w:w="4320"/>
            <w:shd w:fill="F5F5F5" w:val="clear"/>
          </w:tcPr>
          <w:p>
            <w:r>
              <w:t>Open Source</w:t>
            </w:r>
          </w:p>
        </w:tc>
        <w:tc>
          <w:tcPr>
            <w:tcW w:type="dxa" w:w="4320"/>
            <w:shd w:fill="F5F5F5" w:val="clear"/>
          </w:tcPr>
          <w:p>
            <w:r>
              <w:t>MIT-licensed algorithms enable replication without us</w:t>
            </w:r>
          </w:p>
        </w:tc>
      </w:tr>
      <w:tr>
        <w:tc>
          <w:tcPr>
            <w:tcW w:type="dxa" w:w="4320"/>
          </w:tcPr>
          <w:p>
            <w:r>
              <w:t>Founder Fit</w:t>
            </w:r>
          </w:p>
        </w:tc>
        <w:tc>
          <w:tcPr>
            <w:tcW w:type="dxa" w:w="4320"/>
          </w:tcPr>
          <w:p>
            <w:r>
              <w:t>Rare intersection: biostatistics + ML + Uganda health systems expertise</w:t>
            </w:r>
          </w:p>
        </w:tc>
      </w:tr>
    </w:tbl>
    <w:p/>
    <w:p>
      <w:r>
        <w:rPr>
          <w:b/>
          <w:sz w:val="24"/>
        </w:rPr>
        <w:t>Remember: You've built something real. Show them.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Wayesu Community Research Organisation Ltd | Raymond Reuel Wayesu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