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r>
        <w:t xml:space="preserve"/>
      </w:r>
    </w:p>
    <w:p>
      <w:pPr>
        <w:spacing w:after="200"/>
        <w:jc w:val="center"/>
      </w:pPr>
      <w:r>
        <w:rPr>
          <w:b/>
          <w:bCs/>
          <w:color w:val="B85042"/>
          <w:sz w:val="56"/>
          <w:szCs w:val="56"/>
        </w:rPr>
        <w:t xml:space="preserve">HEATSHIELD AGRI</w:t>
      </w:r>
    </w:p>
    <w:p>
      <w:pPr>
        <w:spacing w:after="600"/>
        <w:jc w:val="center"/>
      </w:pPr>
      <w:r>
        <w:rPr>
          <w:color w:val="2E5A8C"/>
          <w:sz w:val="28"/>
          <w:szCs w:val="28"/>
        </w:rPr>
        <w:t xml:space="preserve">AI-Powered Heat Stress Early Warning System</w:t>
      </w:r>
    </w:p>
    <w:p>
      <w:pPr>
        <w:spacing w:after="200"/>
        <w:jc w:val="center"/>
      </w:pPr>
      <w:r>
        <w:rPr>
          <w:b/>
          <w:bCs/>
          <w:color w:val="1A1A2E"/>
          <w:sz w:val="36"/>
          <w:szCs w:val="36"/>
        </w:rPr>
        <w:t xml:space="preserve">INTERVIEW Q&amp;A REFERENCE</w:t>
      </w:r>
    </w:p>
    <w:p>
      <w:pPr>
        <w:spacing w:after="800"/>
        <w:jc w:val="center"/>
      </w:pPr>
      <w:r>
        <w:rPr>
          <w:color w:val="666666"/>
          <w:sz w:val="24"/>
          <w:szCs w:val="24"/>
        </w:rPr>
        <w:t xml:space="preserve">Activate AI: Economic Opportunity Challenge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Borders>
              <w:top w:val="single" w:color="E0E0E0" w:sz="1"/>
              <w:left w:val="single" w:color="E0E0E0" w:sz="1"/>
              <w:bottom w:val="single" w:color="E0E0E0" w:sz="1"/>
              <w:right w:val="single" w:color="E0E0E0" w:sz="1"/>
            </w:tcBorders>
            <w:shd w:fill="F8F9FA" w:val="clear"/>
            <w:tcMar>
              <w:top w:type="dxa" w:w="150"/>
              <w:left w:type="dxa" w:w="200"/>
              <w:bottom w:type="dxa" w:w="150"/>
              <w:right w:type="dxa" w:w="200"/>
            </w:tcMar>
          </w:tcPr>
          <w:p>
            <w:pPr>
              <w:spacing w:after="80"/>
            </w:pPr>
            <w:r>
              <w:rPr>
                <w:b/>
                <w:bCs/>
              </w:rPr>
              <w:t>Prepared for: Raymond Reuel Wayesu</w:t>
            </w:r>
          </w:p>
          <w:p>
            <w:pPr>
              <w:spacing w:after="80"/>
            </w:pPr>
            <w:r>
              <w:t xml:space="preserve">Interview: March 9, 2026, 21:00 EAT</w:t>
            </w:r>
          </w:p>
          <w:p>
            <w:r>
              <w:t xml:space="preserve">Format: 5 min intro + 10 min pitch + 30 min Q&amp;A</w:t>
            </w:r>
          </w:p>
        </w:tc>
      </w:tr>
    </w:tbl>
    <w:p>
      <w:r>
        <w:br w:type="page"/>
      </w:r>
    </w:p>
    <w:p>
      <w:pPr>
        <w:pStyle w:val="Heading1"/>
      </w:pPr>
      <w:r>
        <w:t xml:space="preserve">1. Technical &amp; AI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How accurate are your WBGT predictions?</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Our predictions use the ISO 7243 WBGT calculation standard—the internationally recognized method for occupational heat assessment. We combine multiple data sources including Open-Meteo weather forecasts (ECMWF and GFS models), SRTM terrain data, and spatial interpolation algorithms. We display uncertainty bounds with every prediction and use conservative thresholds that err toward caution. During the pilot phase, we'll collect ground-truth data to quantify actual prediction error and continuously improve calibration.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Why Random Forest with physics-based ISO 7243 model?</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This hybrid approach captures the best of both worlds. Random Forest excels at handling tabular data with complex feature interactions (temperature, humidity, wind, terrain) using an ensemble of decision trees, while the physics-based ISO 7243 layer ensures predictions respect known thermodynamic relationships. The Random Forest models are already deployed on Android via ONNX Runtime. The physics constraint prevents the model from making physically impossible predictions—a common failure mode of pure ML approaches. Crucially, Random Forest is computationally efficient and deployable without expensive GPU infrastructure, which is essential for sustainable operations in our context.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How does the work schedule optimizer function?</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The optimizer analyzes the 72-hour WBGT forecast and identifies all hours below the recommended work threshold for moderate agricultural work (ISO 7243 categories). It applies practical constraints: farmers need 6-8 productive hours, prefer contiguous blocks, and work during daylight. The output is specific recommendations like '5:00 AM - 11:00 AM, then 4:00 PM - 6:30 PM' with estimated safe work hours per day. This is a constraint satisfaction problem—it's 'AI' in the sense of automated intelligent analysis processing thousands of forecast combinations that humans couldn't manually analyze.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What happens when predictions are wrong?</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We design for this scenario explicitly. Every alert includes guidance to 'listen to your body' and recognize heat illness symptoms regardless of predictions. We use conservative thresholds that minimize false negatives (predicted safe but actually dangerous). We implement a feedback loop where users report via SMS whether conditions matched predictions, enabling continuous model improvement. Systematic errors trigger recalibration. The pilot phase explicitly validates prediction accuracy before scaling.</w:t>
            </w:r>
          </w:p>
        </w:tc>
      </w:tr>
    </w:tbl>
    <w:p>
      <w:r>
        <w:br w:type="page"/>
      </w:r>
    </w:p>
    <w:p>
      <w:pPr>
        <w:pStyle w:val="Heading1"/>
      </w:pPr>
      <w:r>
        <w:t xml:space="preserve">2. Impact &amp; Reach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How will you reach farmers without smartphones?</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This is exactly why USSD/SMS is a primary channel, not an afterthought. USSD works on any basic feature phone without internet. Farmers dial *384*HEAT# and navigate simple numbered menus to check heat risk, get forecasts, or register for alerts. SMS messages are simple, actionable, in local languages: 'HIGH HEAT TODAY. Work 5AM-10AM only. Rest midday. Drink water every 30 min.' For farmers without any phone, extension workers and cooperative leaders share information through community gatherings. No internet required—USSD and SMS work on 2G networks covering nearly all of Uganda.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How will you reach 10,000 farmers in 12 months?</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We plug into existing infrastructure with trusted relationships. UNFFE's cooperative networks in target districts become distribution partners—we estimate 3-4 cooperatives with 500-2000 members each. We train 10 extension workers who each work with ~100 farmer groups, registering farmers during routine visits. Once registered, SMS delivery is automated. Growth model: Months 1-3 = 500 farmers (proving the model), Months 4-6 = 2,000 (pilot expansion), Months 7-12 = 10,000 (adding districts, word-of-mouth). We grow through trusted networks, not cold outreach.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How do you measure actual health impact?</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Behavior change is our primary outcome—measurable and causally linked to health protection. We measure: (1) Self-reported work schedule changes, water intake, and shade-seeking via monthly SMS check-ins and surveys; (2) Heat illness symptoms at baseline and endline, comparing users vs. non-users; (3) Health facility data on heat-related visits; (4) Productivity metrics including workdays lost. Our Makerere University partnership ensures rigorous evaluation methodology with treatment and comparison groups.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How do you ensure equitable reach for women farmers?</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Women face higher heat stress risk (PSI 3.28 vs 2.9 for men) but often have less phone access. We partner with women's farming groups that have existing meeting structures. For households where phones are shared or controlled by men, cooperative-level alerts ensure women learn about heat risk through group meetings. We track registration and engagement by gender and adjust outreach if gaps emerge. Our Farmer Advisory Committee includes women farmers who guide message design and intervention strategies.</w:t>
            </w:r>
          </w:p>
        </w:tc>
      </w:tr>
    </w:tbl>
    <w:p>
      <w:r>
        <w:br w:type="page"/>
      </w:r>
    </w:p>
    <w:p>
      <w:pPr>
        <w:pStyle w:val="Heading1"/>
      </w:pPr>
      <w:r>
        <w:t xml:space="preserve">3. Team &amp; Execution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Can you execute this as a solo founder?</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The MVP was built solo, demonstrating execution capability. But the 12-month plan doesn't rely on me doing everything alone. I handle technical development, ML models, architecture, partnerships, and fundraising—my core competencies from 10+ years of research work. The $47K personnel budget funds a part-time developer and extension worker payments. Partners contribute: UNFFE provides cooperative access, extension workers do farmer training, Makerere provides research support. We're building a system that scales through automation (SMS) and existing human infrastructure, not through me personally reaching farmers.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What qualifies you to lead this?</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I bring a rare combination: 10+ years as biostatistician at Uganda Virus Research Institute (health research and Uganda health systems expertise); MSc Statistics from Linköping University (rigorous statistical training); current PhD in Machine Learning/Computer Vision (why I can build ML systems, not just talk about them); technical stack proficiency in R, Python, Rust, TypeScript. I built the entire HeatShield MVP myself. I understand health systems, statistical methods, ML implementation, and Uganda's context—a unique intersection that positions me for this specific challenge.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What's the status of your partnerships?</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I want to be transparent: these are planned partnerships with preliminary conversations, not signed MOUs. This is typical at pre-funding stage. UNFFE is interested but waiting for funding confirmation. MAAIF (government) rarely commits before projects are funded. Makerere has research collaboration interest pending project scope. Africa's Talking is commercial—pay-per-use, already integrated in MVP. Months 1-3 explicitly include partnership formalization as a key deliverable. The relationships are real; the paperwork comes after the grant.</w:t>
            </w:r>
          </w:p>
        </w:tc>
      </w:tr>
    </w:tbl>
    <w:p>
      <w:r>
        <w:br w:type="page"/>
      </w:r>
    </w:p>
    <w:p>
      <w:pPr>
        <w:pStyle w:val="Heading1"/>
      </w:pPr>
      <w:r>
        <w:t xml:space="preserve">4. Sustainability &amp; Scale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What's your revenue model after the grant?</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Basic alerts to individual farmers remain FREE forever—this is a public good subsidized by other revenue. B2B dashboards ($50-200/month) serve cooperatives, export companies (EU supply chain compliance), and large farms needing documentation. Institutional partnerships with Ministry of Agriculture, World Bank projects, and USAID programs pay for tools their programs use. Climate adaptation funding from Green Climate Fund, Adaptation Fund, and bilateral programs support exactly this infrastructure. Cost efficiency advantage: $0.30/farmer/year for SMS means even modest revenue covers massive reach.</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How does this scale beyond Uganda?</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The architecture is designed for replication from day one. Weather data sources (Open-Meteo, ICPAC) cover all East Africa. WBGT calculations are universal physics. SMS/USSD infrastructure exists everywhere. Only configuration changes are needed for new regions. East Africa has 100+ million agricultural workers facing similar challenges—Kenya, Tanzania, Rwanda, Ethiopia have the same climate patterns and phone infrastructure. Our open-source strategy (MIT license) enables other organizations to deploy in their contexts. We provide the toolkit; we don't gatekeep the technology.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What if farmers don't change behavior despite alerts?</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We don't assume automatic behavior change. Our approach: Economic framing shows farmers how to maintain productivity while avoiding dangerous hours—we say 'work smarter' not 'don't work.' Trusted messengers (extension workers, cooperative leaders) deliver information through pre-established relationships. Social proof builds as early adopters report benefits. Iterative messaging adjusts based on what works—if text doesn't drive change, we add voice; if daily alerts cause fatigue, we adjust frequency. Evidence from Kenya shows SMS agricultural advisories achieve 11.5% yield increases—behavior change through mobile messaging is proven.</w:t>
            </w:r>
          </w:p>
        </w:tc>
      </w:tr>
    </w:tbl>
    <w:p>
      <w:r>
        <w:br w:type="page"/>
      </w:r>
    </w:p>
    <w:p>
      <w:pPr>
        <w:pStyle w:val="Heading1"/>
      </w:pPr>
      <w:r>
        <w:t xml:space="preserve">5. Responsible AI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How do you handle farmer data privacy?</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Data minimization is our core principle—we collect only phone number (for SMS) and district (for localized forecasts). No personal health information. Symptom surveys are anonymized research data, not linked to phone numbers. Phone numbers are hashed for storage, decrypted only for SMS sending. TLS encryption for all transmission. Users actively opt-in with clear local-language explanation of data use. Easy opt-out via SMS. User information is never sold or shared with third parties. We'll establish a data governance committee including farmer representatives.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How do you address AI bias?</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We proactively address multiple bias types. Geographic bias: We use ICPAC regional forecasts calibrated for East Africa and validate against local observations. Coverage bias: Predictions cover all pilot districts equally, including remote sub-counties. Access bias: USSD/SMS channels work on any phone, and cooperative-level sharing reaches non-phone-owners. Gender bias: We track engagement by gender and adjust outreach if women are underrepresented. Continuous monitoring: Bias testing is ongoing—we analyze whether prediction accuracy varies by district and adjust accordingly.</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What about environmental impact of your AI?</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Lightweight by design: Random Forest ensemble models and spatial interpolation, not GPU-intensive deep learning. Pre-calculated forecasts are cached and served, avoiding on-demand inference for each request. The environmental cost is negligible compared to climate adaptation benefits delivered—we're helping millions adapt to climate change. Cloud providers (Vercel, AWS) have renewable energy commitments. We'll measure and report carbon footprint annually, and explore edge computing as we scale.</w:t>
            </w:r>
          </w:p>
        </w:tc>
      </w:tr>
    </w:tbl>
    <w:p>
      <w:r>
        <w:br w:type="page"/>
      </w:r>
    </w:p>
    <w:p>
      <w:pPr>
        <w:pStyle w:val="Heading1"/>
      </w:pPr>
      <w:r>
        <w:t xml:space="preserve">6. Strategic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Why hasn't anyone built this already?</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Several factors explain this gap: Climate services focus on rainfall (drought, flood)—heat stress falls between climate and health sectors with nobody's core mandate. In smallholder agriculture, there's no employer to provide heat protection—farmers need institutional support. Previous approaches assumed smartphone apps, excluding most farmers. This challenge requires climate science + ML + mobile tech + agricultural extension + health research expertise—a rare combination. VCs don't fund public goods for poor farmers; development funders haven't prioritized occupational heat. Programs like Activate AI fill exactly this gap.</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What if government wants to take over your system?</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That would be success, not failure! Government adoption means sustainable, institutionalized protection for all farmers. Our open-source code enables this—if MAAIF wants to integrate alerts into official services, they can. We'd become technical advisors or pivot to other countries while Uganda runs its own system. Realistic timeline: government tech adoption takes years, giving us time to demonstrate impact and expand regionally. Our mission is protecting farmers, not building a company. Government institutionalization achieves our mission at scale.</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0E0E0" w:sz="1"/>
              <w:left w:val="single" w:color="E0E0E0" w:sz="1"/>
              <w:bottom w:val="single" w:color="E0E0E0" w:sz="1"/>
              <w:right w:val="single" w:color="E0E0E0" w:sz="1"/>
            </w:tcBorders>
            <w:shd w:fill="B85042" w:val="clear"/>
            <w:tcMar>
              <w:top w:type="dxa" w:w="100"/>
              <w:left w:type="dxa" w:w="150"/>
              <w:bottom w:type="dxa" w:w="100"/>
              <w:right w:type="dxa" w:w="150"/>
            </w:tcMar>
          </w:tcPr>
          <w:p>
            <w:r>
              <w:rPr>
                <w:b/>
                <w:bCs/>
                <w:color w:val="FFFFFF"/>
                <w:sz w:val="24"/>
                <w:szCs w:val="24"/>
              </w:rPr>
              <w:t xml:space="preserve">What if you don't win this grant?</w:t>
            </w:r>
          </w:p>
        </w:tc>
      </w:tr>
      <w:tr>
        <w:tc>
          <w:tcPr>
            <w:tcBorders>
              <w:top w:val="single" w:color="E0E0E0" w:sz="1"/>
              <w:left w:val="single" w:color="E0E0E0" w:sz="1"/>
              <w:bottom w:val="single" w:color="E0E0E0" w:sz="1"/>
              <w:right w:val="single" w:color="E0E0E0" w:sz="1"/>
            </w:tcBorders>
            <w:shd w:fill="FFFFFF" w:val="clear"/>
            <w:tcMar>
              <w:top w:type="dxa" w:w="150"/>
              <w:left w:type="dxa" w:w="150"/>
              <w:bottom w:type="dxa" w:w="150"/>
              <w:right w:type="dxa" w:w="150"/>
            </w:tcMar>
          </w:tcPr>
          <w:p>
            <w:pPr>
              <w:spacing w:line="276"/>
            </w:pPr>
            <w:r>
              <w:rPr>
                <w:sz w:val="22"/>
                <w:szCs w:val="22"/>
              </w:rPr>
              <w:t xml:space="preserve">This grant is important but not existential. The MVP is built and running. I'm pursuing IKI Small Grants (€60-200K), ESTDEV (€50-150K), UNICEF Venture Fund ($100K), and others—multiple applications are active. Without major funding, I'd run a smaller pilot with personal resources and UVRI networks. I could pursue academic funding through my PhD program. Core work continues regardless: weather data is free, hosting costs are minimal. Grant funding accelerates scale; it doesn't determine existence.</w:t>
            </w:r>
          </w:p>
        </w:tc>
      </w:tr>
    </w:tbl>
    <w:p>
      <w:r>
        <w:br w:type="page"/>
      </w:r>
    </w:p>
    <w:p>
      <w:pPr>
        <w:pStyle w:val="Heading1"/>
      </w:pPr>
      <w:r>
        <w:t xml:space="preserve">Key Messages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Borders>
              <w:top w:val="single" w:color="E0E0E0" w:sz="1"/>
              <w:left w:val="single" w:color="E0E0E0" w:sz="1"/>
              <w:bottom w:val="single" w:color="E0E0E0" w:sz="1"/>
              <w:right w:val="single" w:color="E0E0E0" w:sz="1"/>
            </w:tcBorders>
            <w:shd w:fill="B85042" w:val="clear"/>
            <w:tcMar>
              <w:top w:type="dxa" w:w="100"/>
              <w:left w:type="dxa" w:w="120"/>
              <w:bottom w:type="dxa" w:w="100"/>
              <w:right w:type="dxa" w:w="120"/>
            </w:tcMar>
          </w:tcPr>
          <w:p>
            <w:r>
              <w:rPr>
                <w:b/>
                <w:bCs/>
                <w:color w:val="FFFFFF"/>
              </w:rPr>
              <w:t xml:space="preserve">Theme</w:t>
            </w:r>
          </w:p>
        </w:tc>
        <w:tc>
          <w:tcPr>
            <w:tcBorders>
              <w:top w:val="single" w:color="E0E0E0" w:sz="1"/>
              <w:left w:val="single" w:color="E0E0E0" w:sz="1"/>
              <w:bottom w:val="single" w:color="E0E0E0" w:sz="1"/>
              <w:right w:val="single" w:color="E0E0E0" w:sz="1"/>
            </w:tcBorders>
            <w:shd w:fill="B85042" w:val="clear"/>
            <w:tcMar>
              <w:top w:type="dxa" w:w="100"/>
              <w:left w:type="dxa" w:w="120"/>
              <w:bottom w:type="dxa" w:w="100"/>
              <w:right w:type="dxa" w:w="120"/>
            </w:tcMar>
          </w:tcPr>
          <w:p>
            <w:r>
              <w:rPr>
                <w:b/>
                <w:bCs/>
                <w:color w:val="FFFFFF"/>
              </w:rPr>
              <w:t xml:space="preserve">Key Message</w:t>
            </w:r>
          </w:p>
        </w:tc>
      </w:tr>
      <w:tr>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color w:val="2E5A8C"/>
              </w:rPr>
              <w:t xml:space="preserve">Working MVP</w:t>
            </w:r>
          </w:p>
        </w:tc>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Live at heatshieldagri.vercel.app — proof of execution, not just plans</w:t>
            </w:r>
          </w:p>
        </w:tc>
      </w:tr>
      <w:tr>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color w:val="2E5A8C"/>
              </w:rPr>
              <w:t xml:space="preserve">Unserved Market</w:t>
            </w:r>
          </w:p>
        </w:tc>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12.4M agricultural workers with zero existing heat protection</w:t>
            </w:r>
          </w:p>
        </w:tc>
      </w:tr>
      <w:tr>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color w:val="2E5A8C"/>
              </w:rPr>
              <w:t xml:space="preserve">Proven Science</w:t>
            </w:r>
          </w:p>
        </w:tc>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ISO 7243 standard + established ML methods — innovation is application</w:t>
            </w:r>
          </w:p>
        </w:tc>
      </w:tr>
      <w:tr>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color w:val="2E5A8C"/>
              </w:rPr>
              <w:t xml:space="preserve">Inclusive Design</w:t>
            </w:r>
          </w:p>
        </w:tc>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USSD/SMS for feature phones, local languages, gender equity focus</w:t>
            </w:r>
          </w:p>
        </w:tc>
      </w:tr>
      <w:tr>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color w:val="2E5A8C"/>
              </w:rPr>
              <w:t xml:space="preserve">Regional Scale</w:t>
            </w:r>
          </w:p>
        </w:tc>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Uganda proves concept for 100M+ East African workers</w:t>
            </w:r>
          </w:p>
        </w:tc>
      </w:tr>
      <w:tr>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color w:val="2E5A8C"/>
              </w:rPr>
              <w:t xml:space="preserve">Sustainability</w:t>
            </w:r>
          </w:p>
        </w:tc>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Freemium model: free farmer alerts, paid institutional dashboards</w:t>
            </w:r>
          </w:p>
        </w:tc>
      </w:tr>
      <w:tr>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color w:val="2E5A8C"/>
              </w:rPr>
              <w:t xml:space="preserve">Open Source</w:t>
            </w:r>
          </w:p>
        </w:tc>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MIT-licensed algorithms enable replication without us</w:t>
            </w:r>
          </w:p>
        </w:tc>
      </w:tr>
      <w:tr>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b/>
                <w:bCs/>
                <w:color w:val="2E5A8C"/>
              </w:rPr>
              <w:t xml:space="preserve">Founder Fit</w:t>
            </w:r>
          </w:p>
        </w:tc>
        <w:tc>
          <w:tcPr>
            <w:tcBorders>
              <w:top w:val="single" w:color="E0E0E0" w:sz="1"/>
              <w:left w:val="single" w:color="E0E0E0" w:sz="1"/>
              <w:bottom w:val="single" w:color="E0E0E0" w:sz="1"/>
              <w:right w:val="single" w:color="E0E0E0" w:sz="1"/>
            </w:tcBorders>
            <w:tcMar>
              <w:top w:type="dxa" w:w="80"/>
              <w:left w:type="dxa" w:w="120"/>
              <w:bottom w:type="dxa" w:w="80"/>
              <w:right w:type="dxa" w:w="120"/>
            </w:tcMar>
          </w:tcPr>
          <w:p>
            <w:r>
              <w:t xml:space="preserve">Rare intersection: biostatistics + ML + Uganda health systems expertise</w:t>
            </w:r>
          </w:p>
        </w:tc>
      </w:tr>
    </w:tbl>
    <w:p>
      <w:pPr>
        <w:spacing w:after="400"/>
      </w:pPr>
    </w:p>
    <w:p>
      <w:pPr>
        <w:jc w:val="center"/>
      </w:pPr>
      <w:r>
        <w:rPr>
          <w:b/>
          <w:bCs/>
          <w:i/>
          <w:iCs/>
          <w:color w:val="2D6A4F"/>
          <w:sz w:val="26"/>
          <w:szCs w:val="26"/>
        </w:rPr>
        <w:t xml:space="preserve">Remember: You've built something real. Show them.</w:t>
      </w:r>
    </w:p>
    <w:p>
      <w:pPr>
        <w:jc w:val="center"/>
      </w:pPr>
      <w:r>
        <w:rPr>
          <w:i/>
          <w:color w:val="646464"/>
          <w:sz w:val="18"/>
        </w:rPr>
        <w:br/>
        <w:t>Prepared by Wayesu Community Research Organisation Ltd</w:t>
      </w:r>
    </w:p>
    <w:sectPr>
      <w:headerReference w:type="default" r:id="rId7"/>
      <w:footerReference w:type="default" r:id="rId8"/>
      <w:headerReference w:type="first" r:id="rId10"/>
      <w:footerReference w:type="first" r:id="rId11"/>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Activate AI: Economic Opportunity Challenge | Finalist Interview | </w:t>
    </w: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5042" w:sz="6" w:space="1"/>
      </w:pBdr>
      <w:jc w:val="right"/>
    </w:pPr>
    <w:r>
      <w:rPr>
        <w:i/>
        <w:iCs/>
        <w:color w:val="666666"/>
        <w:sz w:val="18"/>
        <w:szCs w:val="18"/>
      </w:rPr>
      <w:t xml:space="preserve">HeatShield Agri | Interview Q&amp;A Reference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rFonts w:ascii="Georgia" w:cs="Georgia" w:eastAsia="Georgia" w:hAnsi="Georgia"/>
      <w:b/>
      <w:bCs/>
      <w:color w:val="1A1A2E"/>
      <w:sz w:val="32"/>
      <w:szCs w:val="32"/>
    </w:rPr>
  </w:style>
  <w:style w:type="paragraph" w:styleId="Heading2">
    <w:name w:val="Heading 2"/>
    <w:pPr>
      <w:spacing w:after="150" w:before="300"/>
    </w:pPr>
    <w:rPr>
      <w:rFonts w:ascii="Georgia" w:cs="Georgia" w:eastAsia="Georgia" w:hAnsi="Georgia"/>
      <w:b/>
      <w:bCs/>
      <w:color w:val="2E5A8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2026-02-28T18:39:16.953Z</dcterms:created>
  <dcterms:modified xsi:type="dcterms:W3CDTF">2026-02-28T18:39:16.954Z</dcterms:modified>
</cp:coreProperties>
</file>

<file path=docProps/custom.xml><?xml version="1.0" encoding="utf-8"?>
<Properties xmlns="http://schemas.openxmlformats.org/officeDocument/2006/custom-properties" xmlns:vt="http://schemas.openxmlformats.org/officeDocument/2006/docPropsVTypes"/>
</file>