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3A26"/>
          <w:sz w:val="72"/>
        </w:rPr>
        <w:t>HeatShield Agri</w:t>
      </w:r>
    </w:p>
    <w:p>
      <w:pPr>
        <w:jc w:val="center"/>
      </w:pPr>
      <w:r>
        <w:rPr>
          <w:color w:val="2E7D32"/>
          <w:sz w:val="40"/>
        </w:rPr>
        <w:t>Platform Architecture Document</w:t>
      </w:r>
    </w:p>
    <w:p>
      <w:pPr>
        <w:jc w:val="center"/>
      </w:pPr>
      <w:r>
        <w:rPr>
          <w:color w:val="2E7D32"/>
          <w:sz w:val="24"/>
        </w:rPr>
        <w:t>────────────────────────────────────────</w:t>
      </w:r>
    </w:p>
    <w:p/>
    <w:p>
      <w:pPr>
        <w:jc w:val="center"/>
      </w:pPr>
      <w:r>
        <w:rPr>
          <w:color w:val="646464"/>
          <w:sz w:val="24"/>
        </w:rPr>
        <w:t>Prepared by</w:t>
      </w:r>
    </w:p>
    <w:p>
      <w:pPr>
        <w:jc w:val="center"/>
      </w:pPr>
      <w:r>
        <w:rPr>
          <w:b/>
          <w:color w:val="1E3A26"/>
          <w:sz w:val="32"/>
        </w:rPr>
        <w:t>Raymond Reuel Wayesu</w:t>
      </w:r>
    </w:p>
    <w:p>
      <w:pPr>
        <w:jc w:val="center"/>
      </w:pPr>
      <w:r>
        <w:rPr>
          <w:color w:val="646464"/>
          <w:sz w:val="24"/>
        </w:rPr>
        <w:t>Wayesu Community Research Organisation Ltd</w:t>
      </w:r>
    </w:p>
    <w:p/>
    <w:p>
      <w:pPr>
        <w:jc w:val="center"/>
      </w:pPr>
      <w:r>
        <w:rPr>
          <w:color w:val="1E3A26"/>
          <w:sz w:val="28"/>
        </w:rPr>
        <w:t>March 2026</w:t>
      </w:r>
    </w:p>
    <w:p/>
    <w:p/>
    <w:p>
      <w:pPr>
        <w:jc w:val="center"/>
      </w:pPr>
      <w:r>
        <w:rPr>
          <w:i/>
          <w:color w:val="1E3A26"/>
          <w:sz w:val="22"/>
        </w:rPr>
        <w:t>An AI-powered heat stress early warning system for Uganda's 12.4 million agricultural workers. Delivering real-time WBGT predictions via Web, Android, and USSD.</w:t>
      </w:r>
    </w:p>
    <w:p>
      <w:r>
        <w:br w:type="page"/>
      </w:r>
    </w:p>
    <w:p>
      <w:r>
        <w:rPr>
          <w:b/>
          <w:color w:val="1E3A26"/>
          <w:sz w:val="48"/>
        </w:rPr>
        <w:t>Table of Contents</w:t>
      </w:r>
    </w:p>
    <w:p>
      <w:pPr>
        <w:spacing w:after="80"/>
      </w:pPr>
      <w:r>
        <w:rPr>
          <w:b/>
          <w:color w:val="1E3A26"/>
          <w:sz w:val="24"/>
        </w:rPr>
        <w:t>1.  Executive Summary</w:t>
      </w:r>
    </w:p>
    <w:p>
      <w:pPr>
        <w:spacing w:after="80"/>
      </w:pPr>
      <w:r>
        <w:rPr>
          <w:b/>
          <w:color w:val="1E3A26"/>
          <w:sz w:val="24"/>
        </w:rPr>
        <w:t>2.  System Architecture Overview</w:t>
      </w:r>
    </w:p>
    <w:p>
      <w:pPr>
        <w:spacing w:after="80"/>
        <w:ind w:left="850"/>
      </w:pPr>
      <w:r>
        <w:rPr>
          <w:color w:val="1E3A26"/>
          <w:sz w:val="22"/>
        </w:rPr>
        <w:t>2.1  Shared Scientific Foundation</w:t>
      </w:r>
    </w:p>
    <w:p>
      <w:pPr>
        <w:spacing w:after="80"/>
      </w:pPr>
      <w:r>
        <w:rPr>
          <w:b/>
          <w:color w:val="1E3A26"/>
          <w:sz w:val="24"/>
        </w:rPr>
        <w:t>3.  Web Dashboard Architecture</w:t>
      </w:r>
    </w:p>
    <w:p>
      <w:pPr>
        <w:spacing w:after="80"/>
        <w:ind w:left="850"/>
      </w:pPr>
      <w:r>
        <w:rPr>
          <w:color w:val="1E3A26"/>
          <w:sz w:val="22"/>
        </w:rPr>
        <w:t>3.1  Web — Key Components</w:t>
      </w:r>
    </w:p>
    <w:p>
      <w:pPr>
        <w:spacing w:after="80"/>
        <w:ind w:left="850"/>
      </w:pPr>
      <w:r>
        <w:rPr>
          <w:color w:val="1E3A26"/>
          <w:sz w:val="22"/>
        </w:rPr>
        <w:t>3.2  Web — ML Integration</w:t>
      </w:r>
    </w:p>
    <w:p>
      <w:pPr>
        <w:spacing w:after="80"/>
      </w:pPr>
      <w:r>
        <w:rPr>
          <w:b/>
          <w:color w:val="1E3A26"/>
          <w:sz w:val="24"/>
        </w:rPr>
        <w:t>4.  Android App Architecture</w:t>
      </w:r>
    </w:p>
    <w:p>
      <w:pPr>
        <w:spacing w:after="80"/>
        <w:ind w:left="850"/>
      </w:pPr>
      <w:r>
        <w:rPr>
          <w:color w:val="1E3A26"/>
          <w:sz w:val="22"/>
        </w:rPr>
        <w:t>4.1  Android — Key Components</w:t>
      </w:r>
    </w:p>
    <w:p>
      <w:pPr>
        <w:spacing w:after="80"/>
        <w:ind w:left="850"/>
      </w:pPr>
      <w:r>
        <w:rPr>
          <w:color w:val="1E3A26"/>
          <w:sz w:val="22"/>
        </w:rPr>
        <w:t>4.2  Android — Architecture Components</w:t>
      </w:r>
    </w:p>
    <w:p>
      <w:pPr>
        <w:spacing w:after="80"/>
        <w:ind w:left="850"/>
      </w:pPr>
      <w:r>
        <w:rPr>
          <w:color w:val="1E3A26"/>
          <w:sz w:val="22"/>
        </w:rPr>
        <w:t>4.3  Android — ML Integration</w:t>
      </w:r>
    </w:p>
    <w:p>
      <w:pPr>
        <w:spacing w:after="80"/>
      </w:pPr>
      <w:r>
        <w:rPr>
          <w:b/>
          <w:color w:val="1E3A26"/>
          <w:sz w:val="24"/>
        </w:rPr>
        <w:t>5.  USSD Backend Architecture</w:t>
      </w:r>
    </w:p>
    <w:p>
      <w:pPr>
        <w:spacing w:after="80"/>
        <w:ind w:left="850"/>
      </w:pPr>
      <w:r>
        <w:rPr>
          <w:color w:val="1E3A26"/>
          <w:sz w:val="22"/>
        </w:rPr>
        <w:t>5.1  USSD — Key Components</w:t>
      </w:r>
    </w:p>
    <w:p>
      <w:pPr>
        <w:spacing w:after="80"/>
        <w:ind w:left="850"/>
      </w:pPr>
      <w:r>
        <w:rPr>
          <w:color w:val="1E3A26"/>
          <w:sz w:val="22"/>
        </w:rPr>
        <w:t>5.2  USSD — Infrastructure</w:t>
      </w:r>
    </w:p>
    <w:p>
      <w:pPr>
        <w:spacing w:after="80"/>
      </w:pPr>
      <w:r>
        <w:rPr>
          <w:b/>
          <w:color w:val="1E3A26"/>
          <w:sz w:val="24"/>
        </w:rPr>
        <w:t>6.  WASM Engine Architecture</w:t>
      </w:r>
    </w:p>
    <w:p>
      <w:pPr>
        <w:spacing w:after="80"/>
        <w:ind w:left="850"/>
      </w:pPr>
      <w:r>
        <w:rPr>
          <w:color w:val="1E3A26"/>
          <w:sz w:val="22"/>
        </w:rPr>
        <w:t>6.1  WASM — Technical Details</w:t>
      </w:r>
    </w:p>
    <w:p>
      <w:pPr>
        <w:spacing w:after="80"/>
      </w:pPr>
      <w:r>
        <w:rPr>
          <w:b/>
          <w:color w:val="1E3A26"/>
          <w:sz w:val="24"/>
        </w:rPr>
        <w:t>7.  Random Forest ML Pipeline</w:t>
      </w:r>
    </w:p>
    <w:p>
      <w:pPr>
        <w:spacing w:after="80"/>
        <w:ind w:left="850"/>
      </w:pPr>
      <w:r>
        <w:rPr>
          <w:color w:val="1E3A26"/>
          <w:sz w:val="22"/>
        </w:rPr>
        <w:t>7.1  Feature Engineering</w:t>
      </w:r>
    </w:p>
    <w:p>
      <w:pPr>
        <w:spacing w:after="80"/>
        <w:ind w:left="850"/>
      </w:pPr>
      <w:r>
        <w:rPr>
          <w:color w:val="1E3A26"/>
          <w:sz w:val="22"/>
        </w:rPr>
        <w:t>7.2  Inference Architecture</w:t>
      </w:r>
    </w:p>
    <w:p>
      <w:pPr>
        <w:spacing w:after="80"/>
      </w:pPr>
      <w:r>
        <w:rPr>
          <w:b/>
          <w:color w:val="1E3A26"/>
          <w:sz w:val="24"/>
        </w:rPr>
        <w:t>8.  Cross-Platform Consistency</w:t>
      </w:r>
    </w:p>
    <w:p>
      <w:pPr>
        <w:spacing w:after="80"/>
      </w:pPr>
      <w:r>
        <w:rPr>
          <w:b/>
          <w:color w:val="1E3A26"/>
          <w:sz w:val="24"/>
        </w:rPr>
        <w:t>9.  Data Flow</w:t>
      </w:r>
    </w:p>
    <w:p>
      <w:pPr>
        <w:spacing w:after="80"/>
        <w:ind w:left="850"/>
      </w:pPr>
      <w:r>
        <w:rPr>
          <w:color w:val="1E3A26"/>
          <w:sz w:val="22"/>
        </w:rPr>
        <w:t>9.1  Processing Pipeline</w:t>
      </w:r>
    </w:p>
    <w:p>
      <w:pPr>
        <w:spacing w:after="80"/>
      </w:pPr>
      <w:r>
        <w:rPr>
          <w:b/>
          <w:color w:val="1E3A26"/>
          <w:sz w:val="24"/>
        </w:rPr>
        <w:t>10.  Security and Deployment</w:t>
      </w:r>
    </w:p>
    <w:p>
      <w:r>
        <w:br w:type="page"/>
      </w:r>
    </w:p>
    <w:p>
      <w:r>
        <w:br w:type="page"/>
      </w:r>
    </w:p>
    <w:p>
      <w:pPr>
        <w:pStyle w:val="Heading1"/>
        <w:spacing w:before="360" w:after="200"/>
      </w:pPr>
      <w:r>
        <w:rPr>
          <w:color w:val="2E7D32"/>
          <w:sz w:val="36"/>
        </w:rPr>
        <w:t>1.  Executive Summary</w:t>
      </w:r>
    </w:p>
    <w:p>
      <w:pPr>
        <w:spacing w:after="160"/>
      </w:pPr>
      <w:r>
        <w:rPr>
          <w:sz w:val="22"/>
        </w:rPr>
        <w:t>HeatShield Agri is an AI-powered heat stress early warning system designed for Uganda's 12.4 million agricultural workers. The platform delivers real-time WBGT (Wet-Bulb Globe Temperature) predictions and actionable safety guidance through three complementary channels: a web dashboard, an Android app, and a USSD/SMS system for feature phones.</w:t>
      </w:r>
    </w:p>
    <w:p>
      <w:pPr>
        <w:spacing w:after="160"/>
      </w:pPr>
      <w:r>
        <w:rPr>
          <w:sz w:val="22"/>
        </w:rPr>
        <w:t>The core scientific engine implements ISO 7243 occupational heat stress calculations consistently across all platforms. A Random Forest machine learning pipeline enhances physics-based predictions with trained ONNX models for temperature, humidity, and wind speed forecasting.</w:t>
      </w:r>
    </w:p>
    <w:p>
      <w:pPr>
        <w:spacing w:after="160"/>
      </w:pPr>
      <w:r>
        <w:rPr>
          <w:sz w:val="22"/>
        </w:rPr>
        <w:t>This document provides a comprehensive overview of the platform architecture covering the web dashboard, Android application, USSD backend, WASM engine, and the Random Forest ML pipeline.</w:t>
      </w:r>
    </w:p>
    <w:p>
      <w:r>
        <w:br w:type="page"/>
      </w:r>
    </w:p>
    <w:p>
      <w:pPr>
        <w:pStyle w:val="Heading1"/>
        <w:spacing w:before="360" w:after="200"/>
      </w:pPr>
      <w:r>
        <w:rPr>
          <w:color w:val="2E7D32"/>
          <w:sz w:val="36"/>
        </w:rPr>
        <w:t>2.  System Architecture Overview</w:t>
      </w:r>
    </w:p>
    <w:p>
      <w:pPr>
        <w:spacing w:after="160"/>
      </w:pPr>
      <w:r>
        <w:rPr>
          <w:sz w:val="22"/>
        </w:rPr>
        <w:t>HeatShield Agri is a multi-channel delivery platform with a shared scientific core. The architecture ensures that every channel computes WBGT identically, so that a farmer receiving guidance via USSD gets the same risk assessment as a researcher using the web dashboard.</w:t>
      </w:r>
    </w:p>
    <w:p>
      <w:pPr>
        <w:pStyle w:val="ListBullet"/>
        <w:spacing w:after="60"/>
      </w:pPr>
      <w:r>
        <w:rPr>
          <w:sz w:val="22"/>
        </w:rPr>
        <w:t>Web Dashboard (React + TypeScript) — production deployed at heatshieldagri.vercel.app</w:t>
      </w:r>
    </w:p>
    <w:p>
      <w:pPr>
        <w:pStyle w:val="ListBullet"/>
        <w:spacing w:after="60"/>
      </w:pPr>
      <w:r>
        <w:rPr>
          <w:sz w:val="22"/>
        </w:rPr>
        <w:t>Android App (Kotlin + Jetpack Compose) — functional prototype with ML inference</w:t>
      </w:r>
    </w:p>
    <w:p>
      <w:pPr>
        <w:pStyle w:val="ListBullet"/>
        <w:spacing w:after="60"/>
      </w:pPr>
      <w:r>
        <w:rPr>
          <w:sz w:val="22"/>
        </w:rPr>
        <w:t>USSD Backend (Rust + Actix-web) — structured skeleton with full menu system</w:t>
      </w:r>
    </w:p>
    <w:p>
      <w:pPr>
        <w:pStyle w:val="ListBullet"/>
        <w:spacing w:after="60"/>
      </w:pPr>
      <w:r>
        <w:rPr>
          <w:sz w:val="22"/>
        </w:rPr>
        <w:t>WASM Engine (Rust) — complete calculation library for browser-native performance</w:t>
      </w:r>
    </w:p>
    <w:p>
      <w:pPr>
        <w:pStyle w:val="ListBullet"/>
        <w:spacing w:after="60"/>
      </w:pPr>
      <w:r>
        <w:rPr>
          <w:sz w:val="22"/>
        </w:rPr>
        <w:t>Random Forest ML Pipeline — ONNX models deployed on web and Android</w:t>
      </w:r>
    </w:p>
    <w:p>
      <w:pPr>
        <w:pStyle w:val="Heading2"/>
      </w:pPr>
      <w:r>
        <w:rPr>
          <w:color w:val="1E3A26"/>
          <w:sz w:val="28"/>
        </w:rPr>
        <w:t>2.1  Shared Scientific Foundation</w:t>
      </w:r>
    </w:p>
    <w:p>
      <w:pPr>
        <w:spacing w:after="160"/>
      </w:pPr>
      <w:r>
        <w:rPr>
          <w:sz w:val="22"/>
        </w:rPr>
        <w:t>All platforms share the following scientific components to guarantee cross-platform consistency:</w:t>
      </w:r>
    </w:p>
    <w:p>
      <w:pPr>
        <w:pStyle w:val="ListBullet"/>
        <w:spacing w:after="60"/>
      </w:pPr>
      <w:r>
        <w:rPr>
          <w:sz w:val="22"/>
        </w:rPr>
        <w:t>ISO 7243 WBGT formula: WBGT = 0.7*Tw + 0.2*Tg + 0.1*Ta</w:t>
      </w:r>
    </w:p>
    <w:p>
      <w:pPr>
        <w:pStyle w:val="ListBullet"/>
        <w:spacing w:after="60"/>
      </w:pPr>
      <w:r>
        <w:rPr>
          <w:sz w:val="22"/>
        </w:rPr>
        <w:t>Stull (2011) wet-bulb temperature approximation</w:t>
      </w:r>
    </w:p>
    <w:p>
      <w:pPr>
        <w:pStyle w:val="ListBullet"/>
        <w:spacing w:after="60"/>
      </w:pPr>
      <w:r>
        <w:rPr>
          <w:sz w:val="22"/>
        </w:rPr>
        <w:t>Liljegren globe temperature (Newton-Raphson iterative solver)</w:t>
      </w:r>
    </w:p>
    <w:p>
      <w:pPr>
        <w:pStyle w:val="ListBullet"/>
        <w:spacing w:after="60"/>
      </w:pPr>
      <w:r>
        <w:rPr>
          <w:sz w:val="22"/>
        </w:rPr>
        <w:t>Risk thresholds: Low (&lt;26°C), Moderate (26–28°C), High (28–30°C), Very High (30–32°C), Extreme (&gt;32°C)</w:t>
      </w:r>
    </w:p>
    <w:p>
      <w:pPr>
        <w:pStyle w:val="ListBullet"/>
        <w:spacing w:after="60"/>
      </w:pPr>
      <w:r>
        <w:rPr>
          <w:sz w:val="22"/>
        </w:rPr>
        <w:t>Open-Meteo weather API for real-time data</w:t>
      </w:r>
    </w:p>
    <w:p>
      <w:pPr>
        <w:pStyle w:val="ListBullet"/>
        <w:spacing w:after="60"/>
      </w:pPr>
      <w:r>
        <w:rPr>
          <w:sz w:val="22"/>
        </w:rPr>
        <w:t>12 Uganda districts with GPS coordinates</w:t>
      </w:r>
    </w:p>
    <w:p>
      <w:r>
        <w:br w:type="page"/>
      </w:r>
    </w:p>
    <w:p>
      <w:pPr>
        <w:pStyle w:val="Heading1"/>
        <w:spacing w:before="360" w:after="200"/>
      </w:pPr>
      <w:r>
        <w:rPr>
          <w:color w:val="2E7D32"/>
          <w:sz w:val="36"/>
        </w:rPr>
        <w:t>3.  Web Dashboard Architecture</w:t>
      </w:r>
    </w:p>
    <w:p>
      <w:pPr>
        <w:spacing w:after="160"/>
      </w:pPr>
      <w:r>
        <w:rPr>
          <w:sz w:val="22"/>
        </w:rPr>
        <w:t>The web dashboard is the primary interface for researchers, extension officers, and government officials. It is a single-page application built with modern web technologies and deployed to production on Vercel.</w:t>
      </w:r>
    </w:p>
    <w:tbl>
      <w:tblPr>
        <w:tblStyle w:val="TableGrid"/>
        <w:tblW w:type="auto" w:w="0"/>
        <w:jc w:val="center"/>
        <w:tblLook w:firstColumn="1" w:firstRow="1" w:lastColumn="0" w:lastRow="0" w:noHBand="0" w:noVBand="1" w:val="04A0"/>
      </w:tblPr>
      <w:tblGrid>
        <w:gridCol w:w="4703"/>
        <w:gridCol w:w="4703"/>
      </w:tblGrid>
      <w:tr>
        <w:tc>
          <w:tcPr>
            <w:tcW w:type="dxa" w:w="4703"/>
            <w:shd w:fill="2E7D32"/>
          </w:tcPr>
          <w:p>
            <w:pPr>
              <w:spacing w:after="40" w:before="40"/>
              <w:jc w:val="center"/>
            </w:pPr>
            <w:r/>
            <w:r>
              <w:rPr>
                <w:b/>
                <w:color w:val="FFFFFF"/>
                <w:sz w:val="20"/>
              </w:rPr>
              <w:t>Attribute</w:t>
            </w:r>
          </w:p>
        </w:tc>
        <w:tc>
          <w:tcPr>
            <w:tcW w:type="dxa" w:w="4703"/>
            <w:shd w:fill="2E7D32"/>
          </w:tcPr>
          <w:p>
            <w:pPr>
              <w:spacing w:after="40" w:before="40"/>
              <w:jc w:val="center"/>
            </w:pPr>
            <w:r/>
            <w:r>
              <w:rPr>
                <w:b/>
                <w:color w:val="FFFFFF"/>
                <w:sz w:val="20"/>
              </w:rPr>
              <w:t>Detail</w:t>
            </w:r>
          </w:p>
        </w:tc>
      </w:tr>
      <w:tr>
        <w:tc>
          <w:tcPr>
            <w:tcW w:type="dxa" w:w="4703"/>
          </w:tcPr>
          <w:p>
            <w:pPr>
              <w:spacing w:after="40" w:before="40"/>
            </w:pPr>
            <w:r/>
            <w:r>
              <w:rPr>
                <w:sz w:val="20"/>
              </w:rPr>
              <w:t>Stack</w:t>
            </w:r>
          </w:p>
        </w:tc>
        <w:tc>
          <w:tcPr>
            <w:tcW w:type="dxa" w:w="4703"/>
          </w:tcPr>
          <w:p>
            <w:pPr>
              <w:spacing w:after="40" w:before="40"/>
            </w:pPr>
            <w:r/>
            <w:r>
              <w:rPr>
                <w:sz w:val="20"/>
              </w:rPr>
              <w:t>React 18.2, TypeScript, Vite, TailwindCSS 3.4, Zustand, React Query, Recharts</w:t>
            </w:r>
          </w:p>
        </w:tc>
      </w:tr>
      <w:tr>
        <w:tc>
          <w:tcPr>
            <w:tcW w:type="dxa" w:w="4703"/>
            <w:shd w:fill="E8F5E9"/>
          </w:tcPr>
          <w:p>
            <w:pPr>
              <w:spacing w:after="40" w:before="40"/>
            </w:pPr>
            <w:r/>
            <w:r>
              <w:rPr>
                <w:sz w:val="20"/>
              </w:rPr>
              <w:t>Deployment</w:t>
            </w:r>
          </w:p>
        </w:tc>
        <w:tc>
          <w:tcPr>
            <w:tcW w:type="dxa" w:w="4703"/>
            <w:shd w:fill="E8F5E9"/>
          </w:tcPr>
          <w:p>
            <w:pPr>
              <w:spacing w:after="40" w:before="40"/>
            </w:pPr>
            <w:r/>
            <w:r>
              <w:rPr>
                <w:sz w:val="20"/>
              </w:rPr>
              <w:t>Vercel (production, with security headers)</w:t>
            </w:r>
          </w:p>
        </w:tc>
      </w:tr>
      <w:tr>
        <w:tc>
          <w:tcPr>
            <w:tcW w:type="dxa" w:w="4703"/>
          </w:tcPr>
          <w:p>
            <w:pPr>
              <w:spacing w:after="40" w:before="40"/>
            </w:pPr>
            <w:r/>
            <w:r>
              <w:rPr>
                <w:sz w:val="20"/>
              </w:rPr>
              <w:t>Live URL</w:t>
            </w:r>
          </w:p>
        </w:tc>
        <w:tc>
          <w:tcPr>
            <w:tcW w:type="dxa" w:w="4703"/>
          </w:tcPr>
          <w:p>
            <w:pPr>
              <w:spacing w:after="40" w:before="40"/>
            </w:pPr>
            <w:r/>
            <w:r>
              <w:rPr>
                <w:sz w:val="20"/>
              </w:rPr>
              <w:t>https://heatshieldagri.vercel.app</w:t>
            </w:r>
          </w:p>
        </w:tc>
      </w:tr>
    </w:tbl>
    <w:p/>
    <w:p>
      <w:pPr>
        <w:pStyle w:val="Heading2"/>
      </w:pPr>
      <w:r>
        <w:rPr>
          <w:color w:val="1E3A26"/>
          <w:sz w:val="28"/>
        </w:rPr>
        <w:t>3.1  Web — Key Components</w:t>
      </w:r>
    </w:p>
    <w:p>
      <w:pPr>
        <w:spacing w:after="160"/>
      </w:pPr>
      <w:r>
        <w:rPr>
          <w:sz w:val="22"/>
        </w:rPr>
        <w:t>The web dashboard is composed of several feature modules, each addressing a specific user need:</w:t>
      </w:r>
    </w:p>
    <w:p>
      <w:pPr>
        <w:pStyle w:val="ListBullet"/>
        <w:spacing w:after="60"/>
      </w:pPr>
      <w:r>
        <w:rPr>
          <w:sz w:val="22"/>
        </w:rPr>
        <w:t>Dashboard: Real-time WBGT with current conditions for the selected district.</w:t>
      </w:r>
    </w:p>
    <w:p>
      <w:pPr>
        <w:pStyle w:val="ListBullet"/>
        <w:spacing w:after="60"/>
      </w:pPr>
      <w:r>
        <w:rPr>
          <w:sz w:val="22"/>
        </w:rPr>
        <w:t>Forecast: 72-hour WBGT forecast with hourly granularity; BOTH Physics and Random Forest models displayed side by side.</w:t>
      </w:r>
    </w:p>
    <w:p>
      <w:pPr>
        <w:pStyle w:val="ListBullet"/>
        <w:spacing w:after="60"/>
      </w:pPr>
      <w:r>
        <w:rPr>
          <w:sz w:val="22"/>
        </w:rPr>
        <w:t>Heat Map: Interactive SVG map with IDW (Inverse Distance Weighting) spatial interpolation across all 12 districts.</w:t>
      </w:r>
    </w:p>
    <w:p>
      <w:pPr>
        <w:pStyle w:val="ListBullet"/>
        <w:spacing w:after="60"/>
      </w:pPr>
      <w:r>
        <w:rPr>
          <w:sz w:val="22"/>
        </w:rPr>
        <w:t>Schedule Optimizer: AI-powered work schedule recommendations based on WBGT forecast and daylight hours (06:00–18:00).</w:t>
      </w:r>
    </w:p>
    <w:p>
      <w:pPr>
        <w:pStyle w:val="ListBullet"/>
        <w:spacing w:after="60"/>
      </w:pPr>
      <w:r>
        <w:rPr>
          <w:sz w:val="22"/>
        </w:rPr>
        <w:t>Alerts: SMS alert registration with configurable WBGT thresholds and multi-language support.</w:t>
      </w:r>
    </w:p>
    <w:p>
      <w:pPr>
        <w:pStyle w:val="ListBullet"/>
        <w:spacing w:after="60"/>
      </w:pPr>
      <w:r>
        <w:rPr>
          <w:sz w:val="22"/>
        </w:rPr>
        <w:t>Demo: Interactive WBGT calculator and WASM compilation demonstration.</w:t>
      </w:r>
    </w:p>
    <w:p>
      <w:pPr>
        <w:pStyle w:val="ListBullet"/>
        <w:spacing w:after="60"/>
      </w:pPr>
      <w:r>
        <w:rPr>
          <w:sz w:val="22"/>
        </w:rPr>
        <w:t>Multi-language: English, Luganda, Runyankole, Acholi, Swahili.</w:t>
      </w:r>
    </w:p>
    <w:p>
      <w:pPr>
        <w:pStyle w:val="Heading2"/>
      </w:pPr>
      <w:r>
        <w:rPr>
          <w:color w:val="1E3A26"/>
          <w:sz w:val="28"/>
        </w:rPr>
        <w:t>3.2  Web — ML Integration</w:t>
      </w:r>
    </w:p>
    <w:p>
      <w:pPr>
        <w:spacing w:after="160"/>
      </w:pPr>
      <w:r>
        <w:rPr>
          <w:sz w:val="22"/>
        </w:rPr>
        <w:t>The web dashboard integrates the Random Forest ML pipeline directly in the browser using ONNX Runtime Web for native inference.</w:t>
      </w:r>
    </w:p>
    <w:p>
      <w:pPr>
        <w:pStyle w:val="ListBullet"/>
        <w:spacing w:after="60"/>
      </w:pPr>
      <w:r>
        <w:rPr>
          <w:sz w:val="22"/>
        </w:rPr>
        <w:t>3 Random Forest ONNX models (~6.2 MB total): temperature_model.onnx, humidity_model.onnx, windspeed_model.onnx.</w:t>
      </w:r>
    </w:p>
    <w:p>
      <w:pPr>
        <w:pStyle w:val="ListBullet"/>
        <w:spacing w:after="60"/>
      </w:pPr>
      <w:r>
        <w:rPr>
          <w:sz w:val="22"/>
        </w:rPr>
        <w:t>17-feature engineering pipeline: 8 lag features (1, 2, 3, 6, 12, 24, 48, 72 h), 4 cyclical time encodings (hour sin/cos, day-of-year sin/cos), 3 rolling statistics (mean_24h, mean_72h, std_24h), 2 delta features.</w:t>
      </w:r>
    </w:p>
    <w:p>
      <w:pPr>
        <w:pStyle w:val="ListBullet"/>
        <w:spacing w:after="60"/>
      </w:pPr>
      <w:r>
        <w:rPr>
          <w:sz w:val="22"/>
        </w:rPr>
        <w:t>Physics-first architecture: NWP forecast → ISO 7243 baseline → RF validation (MAE ≤ 2.0°C threshold) → 70% physics + 30% RF blend.</w:t>
      </w:r>
    </w:p>
    <w:p>
      <w:pPr>
        <w:pStyle w:val="ListBullet"/>
        <w:spacing w:after="60"/>
      </w:pPr>
      <w:r>
        <w:rPr>
          <w:sz w:val="22"/>
        </w:rPr>
        <w:t>ONNX Runtime Web for browser-native inference with zero server dependency.</w:t>
      </w:r>
    </w:p>
    <w:p>
      <w:r>
        <w:br w:type="page"/>
      </w:r>
    </w:p>
    <w:p>
      <w:pPr>
        <w:pStyle w:val="Heading1"/>
        <w:spacing w:before="360" w:after="200"/>
      </w:pPr>
      <w:r>
        <w:rPr>
          <w:color w:val="2E7D32"/>
          <w:sz w:val="36"/>
        </w:rPr>
        <w:t>4.  Android App Architecture</w:t>
      </w:r>
    </w:p>
    <w:p>
      <w:pPr>
        <w:spacing w:after="160"/>
      </w:pPr>
      <w:r>
        <w:rPr>
          <w:sz w:val="22"/>
        </w:rPr>
        <w:t>The Android application brings HeatShield Agri to mobile users in the field. Built with Kotlin and Jetpack Compose, it follows the MVVM architecture pattern with Hilt dependency injection.</w:t>
      </w:r>
    </w:p>
    <w:tbl>
      <w:tblPr>
        <w:tblStyle w:val="TableGrid"/>
        <w:tblW w:type="auto" w:w="0"/>
        <w:jc w:val="center"/>
        <w:tblLook w:firstColumn="1" w:firstRow="1" w:lastColumn="0" w:lastRow="0" w:noHBand="0" w:noVBand="1" w:val="04A0"/>
      </w:tblPr>
      <w:tblGrid>
        <w:gridCol w:w="4703"/>
        <w:gridCol w:w="4703"/>
      </w:tblGrid>
      <w:tr>
        <w:tc>
          <w:tcPr>
            <w:tcW w:type="dxa" w:w="4703"/>
            <w:shd w:fill="2E7D32"/>
          </w:tcPr>
          <w:p>
            <w:pPr>
              <w:spacing w:after="40" w:before="40"/>
              <w:jc w:val="center"/>
            </w:pPr>
            <w:r/>
            <w:r>
              <w:rPr>
                <w:b/>
                <w:color w:val="FFFFFF"/>
                <w:sz w:val="20"/>
              </w:rPr>
              <w:t>Attribute</w:t>
            </w:r>
          </w:p>
        </w:tc>
        <w:tc>
          <w:tcPr>
            <w:tcW w:type="dxa" w:w="4703"/>
            <w:shd w:fill="2E7D32"/>
          </w:tcPr>
          <w:p>
            <w:pPr>
              <w:spacing w:after="40" w:before="40"/>
              <w:jc w:val="center"/>
            </w:pPr>
            <w:r/>
            <w:r>
              <w:rPr>
                <w:b/>
                <w:color w:val="FFFFFF"/>
                <w:sz w:val="20"/>
              </w:rPr>
              <w:t>Detail</w:t>
            </w:r>
          </w:p>
        </w:tc>
      </w:tr>
      <w:tr>
        <w:tc>
          <w:tcPr>
            <w:tcW w:type="dxa" w:w="4703"/>
          </w:tcPr>
          <w:p>
            <w:pPr>
              <w:spacing w:after="40" w:before="40"/>
            </w:pPr>
            <w:r/>
            <w:r>
              <w:rPr>
                <w:sz w:val="20"/>
              </w:rPr>
              <w:t>Stack</w:t>
            </w:r>
          </w:p>
        </w:tc>
        <w:tc>
          <w:tcPr>
            <w:tcW w:type="dxa" w:w="4703"/>
          </w:tcPr>
          <w:p>
            <w:pPr>
              <w:spacing w:after="40" w:before="40"/>
            </w:pPr>
            <w:r/>
            <w:r>
              <w:rPr>
                <w:sz w:val="20"/>
              </w:rPr>
              <w:t>Kotlin, Jetpack Compose, Material 3, Hilt DI, Coroutines, StateFlow, Retrofit, ONNX Runtime Android</w:t>
            </w:r>
          </w:p>
        </w:tc>
      </w:tr>
      <w:tr>
        <w:tc>
          <w:tcPr>
            <w:tcW w:type="dxa" w:w="4703"/>
            <w:shd w:fill="E8F5E9"/>
          </w:tcPr>
          <w:p>
            <w:pPr>
              <w:spacing w:after="40" w:before="40"/>
            </w:pPr>
            <w:r/>
            <w:r>
              <w:rPr>
                <w:sz w:val="20"/>
              </w:rPr>
              <w:t>Min SDK</w:t>
            </w:r>
          </w:p>
        </w:tc>
        <w:tc>
          <w:tcPr>
            <w:tcW w:type="dxa" w:w="4703"/>
            <w:shd w:fill="E8F5E9"/>
          </w:tcPr>
          <w:p>
            <w:pPr>
              <w:spacing w:after="40" w:before="40"/>
            </w:pPr>
            <w:r/>
            <w:r>
              <w:rPr>
                <w:sz w:val="20"/>
              </w:rPr>
              <w:t>26 (Android 8.0)</w:t>
            </w:r>
          </w:p>
        </w:tc>
      </w:tr>
      <w:tr>
        <w:tc>
          <w:tcPr>
            <w:tcW w:type="dxa" w:w="4703"/>
          </w:tcPr>
          <w:p>
            <w:pPr>
              <w:spacing w:after="40" w:before="40"/>
            </w:pPr>
            <w:r/>
            <w:r>
              <w:rPr>
                <w:sz w:val="20"/>
              </w:rPr>
              <w:t>Target SDK</w:t>
            </w:r>
          </w:p>
        </w:tc>
        <w:tc>
          <w:tcPr>
            <w:tcW w:type="dxa" w:w="4703"/>
          </w:tcPr>
          <w:p>
            <w:pPr>
              <w:spacing w:after="40" w:before="40"/>
            </w:pPr>
            <w:r/>
            <w:r>
              <w:rPr>
                <w:sz w:val="20"/>
              </w:rPr>
              <w:t>34</w:t>
            </w:r>
          </w:p>
        </w:tc>
      </w:tr>
      <w:tr>
        <w:tc>
          <w:tcPr>
            <w:tcW w:type="dxa" w:w="4703"/>
            <w:shd w:fill="E8F5E9"/>
          </w:tcPr>
          <w:p>
            <w:pPr>
              <w:spacing w:after="40" w:before="40"/>
            </w:pPr>
            <w:r/>
            <w:r>
              <w:rPr>
                <w:sz w:val="20"/>
              </w:rPr>
              <w:t>Architecture</w:t>
            </w:r>
          </w:p>
        </w:tc>
        <w:tc>
          <w:tcPr>
            <w:tcW w:type="dxa" w:w="4703"/>
            <w:shd w:fill="E8F5E9"/>
          </w:tcPr>
          <w:p>
            <w:pPr>
              <w:spacing w:after="40" w:before="40"/>
            </w:pPr>
            <w:r/>
            <w:r>
              <w:rPr>
                <w:sz w:val="20"/>
              </w:rPr>
              <w:t>MVVM with Hilt dependency injection</w:t>
            </w:r>
          </w:p>
        </w:tc>
      </w:tr>
      <w:tr>
        <w:tc>
          <w:tcPr>
            <w:tcW w:type="dxa" w:w="4703"/>
          </w:tcPr>
          <w:p>
            <w:pPr>
              <w:spacing w:after="40" w:before="40"/>
            </w:pPr>
            <w:r/>
            <w:r>
              <w:rPr>
                <w:sz w:val="20"/>
              </w:rPr>
              <w:t>Branding</w:t>
            </w:r>
          </w:p>
        </w:tc>
        <w:tc>
          <w:tcPr>
            <w:tcW w:type="dxa" w:w="4703"/>
          </w:tcPr>
          <w:p>
            <w:pPr>
              <w:spacing w:after="40" w:before="40"/>
            </w:pPr>
            <w:r/>
            <w:r>
              <w:rPr>
                <w:sz w:val="20"/>
              </w:rPr>
              <w:t>"Designed by Wayesu Community Research Organisation Ltd" in Dashboard footer</w:t>
            </w:r>
          </w:p>
        </w:tc>
      </w:tr>
    </w:tbl>
    <w:p/>
    <w:p>
      <w:pPr>
        <w:pStyle w:val="Heading2"/>
      </w:pPr>
      <w:r>
        <w:rPr>
          <w:color w:val="1E3A26"/>
          <w:sz w:val="28"/>
        </w:rPr>
        <w:t>4.1  Android — Key Components</w:t>
      </w:r>
    </w:p>
    <w:p>
      <w:pPr>
        <w:spacing w:after="160"/>
      </w:pPr>
      <w:r>
        <w:rPr>
          <w:sz w:val="22"/>
        </w:rPr>
        <w:t>The Android app mirrors the web dashboard's feature set with native mobile optimisations:</w:t>
      </w:r>
    </w:p>
    <w:p>
      <w:pPr>
        <w:pStyle w:val="ListBullet"/>
        <w:spacing w:after="60"/>
      </w:pPr>
      <w:r>
        <w:rPr>
          <w:sz w:val="22"/>
        </w:rPr>
        <w:t>Dashboard Screen: Real-time weather from Open-Meteo with live WBGT calculation.</w:t>
      </w:r>
    </w:p>
    <w:p>
      <w:pPr>
        <w:pStyle w:val="ListBullet"/>
        <w:spacing w:after="60"/>
      </w:pPr>
      <w:r>
        <w:rPr>
          <w:sz w:val="22"/>
        </w:rPr>
        <w:t>Forecast Screen: Dual-model display showing BOTH Physics and Random Forest WBGT side by side for every hour, with district selector, daylight hours (06:00–18:00), and summary comparison cards.</w:t>
      </w:r>
    </w:p>
    <w:p>
      <w:pPr>
        <w:pStyle w:val="ListBullet"/>
        <w:spacing w:after="60"/>
      </w:pPr>
      <w:r>
        <w:rPr>
          <w:sz w:val="22"/>
        </w:rPr>
        <w:t>Schedule Screen: ML-powered work schedule optimizer with district selector, work hours selector, and productivity scoring.</w:t>
      </w:r>
    </w:p>
    <w:p>
      <w:pPr>
        <w:pStyle w:val="ListBullet"/>
        <w:spacing w:after="60"/>
      </w:pPr>
      <w:r>
        <w:rPr>
          <w:sz w:val="22"/>
        </w:rPr>
        <w:t>Map Screen: Heat risk visualisation across Uganda districts.</w:t>
      </w:r>
    </w:p>
    <w:p>
      <w:pPr>
        <w:pStyle w:val="ListBullet"/>
        <w:spacing w:after="60"/>
      </w:pPr>
      <w:r>
        <w:rPr>
          <w:sz w:val="22"/>
        </w:rPr>
        <w:t>Demo Screen: Interactive WBGT calculator with sliders for temperature, humidity, and wind speed.</w:t>
      </w:r>
    </w:p>
    <w:p>
      <w:pPr>
        <w:pStyle w:val="ListBullet"/>
        <w:spacing w:after="60"/>
      </w:pPr>
      <w:r>
        <w:rPr>
          <w:sz w:val="22"/>
        </w:rPr>
        <w:t>Alerts Screen: Alert configuration UI for threshold-based notifications.</w:t>
      </w:r>
    </w:p>
    <w:p>
      <w:pPr>
        <w:pStyle w:val="Heading2"/>
      </w:pPr>
      <w:r>
        <w:rPr>
          <w:color w:val="1E3A26"/>
          <w:sz w:val="28"/>
        </w:rPr>
        <w:t>4.2  Android — Architecture Components</w:t>
      </w:r>
    </w:p>
    <w:p>
      <w:pPr>
        <w:spacing w:after="160"/>
      </w:pPr>
      <w:r>
        <w:rPr>
          <w:sz w:val="22"/>
        </w:rPr>
        <w:t>The app follows clean architecture principles with clear separation of concerns:</w:t>
      </w:r>
    </w:p>
    <w:p>
      <w:pPr>
        <w:pStyle w:val="ListBullet"/>
        <w:spacing w:after="60"/>
      </w:pPr>
      <w:r>
        <w:rPr>
          <w:sz w:val="22"/>
        </w:rPr>
        <w:t>ViewModels: ForecastViewModel, ScheduleViewModel (both implement physics-first + RF validation).</w:t>
      </w:r>
    </w:p>
    <w:p>
      <w:pPr>
        <w:pStyle w:val="ListBullet"/>
        <w:spacing w:after="60"/>
      </w:pPr>
      <w:r>
        <w:rPr>
          <w:sz w:val="22"/>
        </w:rPr>
        <w:t>Repository: WeatherRepository with getWeatherWithHistory() for historical + forecast data.</w:t>
      </w:r>
    </w:p>
    <w:p>
      <w:pPr>
        <w:pStyle w:val="ListBullet"/>
        <w:spacing w:after="60"/>
      </w:pPr>
      <w:r>
        <w:rPr>
          <w:sz w:val="22"/>
        </w:rPr>
        <w:t>ML Engine: HeatShieldMLInference singleton (ONNX Runtime with 2 inference threads).</w:t>
      </w:r>
    </w:p>
    <w:p>
      <w:pPr>
        <w:pStyle w:val="ListBullet"/>
        <w:spacing w:after="60"/>
      </w:pPr>
      <w:r>
        <w:rPr>
          <w:sz w:val="22"/>
        </w:rPr>
        <w:t>DI Module: MLModule provides singleton ML inference instance via Hilt.</w:t>
      </w:r>
    </w:p>
    <w:p>
      <w:pPr>
        <w:pStyle w:val="ListBullet"/>
        <w:spacing w:after="60"/>
      </w:pPr>
      <w:r>
        <w:rPr>
          <w:sz w:val="22"/>
        </w:rPr>
        <w:t>API: WeatherApiService with Retrofit (Open-Meteo, past_days=4 for 96 h history).</w:t>
      </w:r>
    </w:p>
    <w:p>
      <w:pPr>
        <w:pStyle w:val="Heading2"/>
      </w:pPr>
      <w:r>
        <w:rPr>
          <w:color w:val="1E3A26"/>
          <w:sz w:val="28"/>
        </w:rPr>
        <w:t>4.3  Android — ML Integration</w:t>
      </w:r>
    </w:p>
    <w:p>
      <w:pPr>
        <w:spacing w:after="160"/>
      </w:pPr>
      <w:r>
        <w:rPr>
          <w:sz w:val="22"/>
        </w:rPr>
        <w:t>The Android ML pipeline is identical to the web implementation, ensuring cross-platform consistency:</w:t>
      </w:r>
    </w:p>
    <w:p>
      <w:pPr>
        <w:pStyle w:val="ListBullet"/>
        <w:spacing w:after="60"/>
      </w:pPr>
      <w:r>
        <w:rPr>
          <w:sz w:val="22"/>
        </w:rPr>
        <w:t>3 ONNX models in assets/models/ (~6.2 MB total).</w:t>
      </w:r>
    </w:p>
    <w:p>
      <w:pPr>
        <w:pStyle w:val="ListBullet"/>
        <w:spacing w:after="60"/>
      </w:pPr>
      <w:r>
        <w:rPr>
          <w:sz w:val="22"/>
        </w:rPr>
        <w:t>ONNX Runtime Android (native C++ via JNI) for high-performance inference.</w:t>
      </w:r>
    </w:p>
    <w:p>
      <w:pPr>
        <w:pStyle w:val="ListBullet"/>
        <w:spacing w:after="60"/>
      </w:pPr>
      <w:r>
        <w:rPr>
          <w:sz w:val="22"/>
        </w:rPr>
        <w:t>17-feature pipeline identical to web (lag, cyclical, rolling, delta features).</w:t>
      </w:r>
    </w:p>
    <w:p>
      <w:pPr>
        <w:pStyle w:val="ListBullet"/>
        <w:spacing w:after="60"/>
      </w:pPr>
      <w:r>
        <w:rPr>
          <w:sz w:val="22"/>
        </w:rPr>
        <w:t>Physics-first architecture with RF validation and blending.</w:t>
      </w:r>
    </w:p>
    <w:p>
      <w:r>
        <w:br w:type="page"/>
      </w:r>
    </w:p>
    <w:p>
      <w:pPr>
        <w:pStyle w:val="Heading1"/>
        <w:spacing w:before="360" w:after="200"/>
      </w:pPr>
      <w:r>
        <w:rPr>
          <w:color w:val="2E7D32"/>
          <w:sz w:val="36"/>
        </w:rPr>
        <w:t>5.  USSD Backend Architecture</w:t>
      </w:r>
    </w:p>
    <w:p>
      <w:pPr>
        <w:spacing w:after="160"/>
      </w:pPr>
      <w:r>
        <w:rPr>
          <w:sz w:val="22"/>
        </w:rPr>
        <w:t>The USSD backend enables HeatShield Agri to reach the majority of Ugandan farmers who rely on feature phones without internet access. Built in Rust for maximum reliability and minimal resource usage.</w:t>
      </w:r>
    </w:p>
    <w:tbl>
      <w:tblPr>
        <w:tblStyle w:val="TableGrid"/>
        <w:tblW w:type="auto" w:w="0"/>
        <w:jc w:val="center"/>
        <w:tblLook w:firstColumn="1" w:firstRow="1" w:lastColumn="0" w:lastRow="0" w:noHBand="0" w:noVBand="1" w:val="04A0"/>
      </w:tblPr>
      <w:tblGrid>
        <w:gridCol w:w="4703"/>
        <w:gridCol w:w="4703"/>
      </w:tblGrid>
      <w:tr>
        <w:tc>
          <w:tcPr>
            <w:tcW w:type="dxa" w:w="4703"/>
            <w:shd w:fill="2E7D32"/>
          </w:tcPr>
          <w:p>
            <w:pPr>
              <w:spacing w:after="40" w:before="40"/>
              <w:jc w:val="center"/>
            </w:pPr>
            <w:r/>
            <w:r>
              <w:rPr>
                <w:b/>
                <w:color w:val="FFFFFF"/>
                <w:sz w:val="20"/>
              </w:rPr>
              <w:t>Attribute</w:t>
            </w:r>
          </w:p>
        </w:tc>
        <w:tc>
          <w:tcPr>
            <w:tcW w:type="dxa" w:w="4703"/>
            <w:shd w:fill="2E7D32"/>
          </w:tcPr>
          <w:p>
            <w:pPr>
              <w:spacing w:after="40" w:before="40"/>
              <w:jc w:val="center"/>
            </w:pPr>
            <w:r/>
            <w:r>
              <w:rPr>
                <w:b/>
                <w:color w:val="FFFFFF"/>
                <w:sz w:val="20"/>
              </w:rPr>
              <w:t>Detail</w:t>
            </w:r>
          </w:p>
        </w:tc>
      </w:tr>
      <w:tr>
        <w:tc>
          <w:tcPr>
            <w:tcW w:type="dxa" w:w="4703"/>
          </w:tcPr>
          <w:p>
            <w:pPr>
              <w:spacing w:after="40" w:before="40"/>
            </w:pPr>
            <w:r/>
            <w:r>
              <w:rPr>
                <w:sz w:val="20"/>
              </w:rPr>
              <w:t>Stack</w:t>
            </w:r>
          </w:p>
        </w:tc>
        <w:tc>
          <w:tcPr>
            <w:tcW w:type="dxa" w:w="4703"/>
          </w:tcPr>
          <w:p>
            <w:pPr>
              <w:spacing w:after="40" w:before="40"/>
            </w:pPr>
            <w:r/>
            <w:r>
              <w:rPr>
                <w:sz w:val="20"/>
              </w:rPr>
              <w:t>Rust 2021, Actix-web 4, Tokio, SQLx (PostgreSQL), Redis, Africa's Talking integration</w:t>
            </w:r>
          </w:p>
        </w:tc>
      </w:tr>
      <w:tr>
        <w:tc>
          <w:tcPr>
            <w:tcW w:type="dxa" w:w="4703"/>
            <w:shd w:fill="E8F5E9"/>
          </w:tcPr>
          <w:p>
            <w:pPr>
              <w:spacing w:after="40" w:before="40"/>
            </w:pPr>
            <w:r/>
            <w:r>
              <w:rPr>
                <w:sz w:val="20"/>
              </w:rPr>
              <w:t>Binary Size</w:t>
            </w:r>
          </w:p>
        </w:tc>
        <w:tc>
          <w:tcPr>
            <w:tcW w:type="dxa" w:w="4703"/>
            <w:shd w:fill="E8F5E9"/>
          </w:tcPr>
          <w:p>
            <w:pPr>
              <w:spacing w:after="40" w:before="40"/>
            </w:pPr>
            <w:r/>
            <w:r>
              <w:rPr>
                <w:sz w:val="20"/>
              </w:rPr>
              <w:t>6.3 MB statically linked ELF</w:t>
            </w:r>
          </w:p>
        </w:tc>
      </w:tr>
      <w:tr>
        <w:tc>
          <w:tcPr>
            <w:tcW w:type="dxa" w:w="4703"/>
          </w:tcPr>
          <w:p>
            <w:pPr>
              <w:spacing w:after="40" w:before="40"/>
            </w:pPr>
            <w:r/>
            <w:r>
              <w:rPr>
                <w:sz w:val="20"/>
              </w:rPr>
              <w:t>Service Code</w:t>
            </w:r>
          </w:p>
        </w:tc>
        <w:tc>
          <w:tcPr>
            <w:tcW w:type="dxa" w:w="4703"/>
          </w:tcPr>
          <w:p>
            <w:pPr>
              <w:spacing w:after="40" w:before="40"/>
            </w:pPr>
            <w:r/>
            <w:r>
              <w:rPr>
                <w:sz w:val="20"/>
              </w:rPr>
              <w:t>*384*HEAT#</w:t>
            </w:r>
          </w:p>
        </w:tc>
      </w:tr>
    </w:tbl>
    <w:p/>
    <w:p>
      <w:pPr>
        <w:pStyle w:val="Heading2"/>
      </w:pPr>
      <w:r>
        <w:rPr>
          <w:color w:val="1E3A26"/>
          <w:sz w:val="28"/>
        </w:rPr>
        <w:t>5.1  USSD — Key Components</w:t>
      </w:r>
    </w:p>
    <w:p>
      <w:pPr>
        <w:spacing w:after="160"/>
      </w:pPr>
      <w:r>
        <w:rPr>
          <w:sz w:val="22"/>
        </w:rPr>
        <w:t>The USSD system provides a text-based menu interface for feature phone users:</w:t>
      </w:r>
    </w:p>
    <w:p>
      <w:pPr>
        <w:pStyle w:val="ListBullet"/>
        <w:spacing w:after="60"/>
      </w:pPr>
      <w:r>
        <w:rPr>
          <w:sz w:val="22"/>
        </w:rPr>
        <w:t>USSD Callback Handler: Parses Africa's Talking format (sessionId, phoneNumber, text, serviceCode).</w:t>
      </w:r>
    </w:p>
    <w:p>
      <w:pPr>
        <w:pStyle w:val="ListBullet"/>
        <w:spacing w:after="60"/>
      </w:pPr>
      <w:r>
        <w:rPr>
          <w:sz w:val="22"/>
        </w:rPr>
        <w:t>Menu System: 6-item main menu — (1) Check Today's Heat Risk, (2) 3-Day Forecast, (3) Safe Work Hours, (4) Register for SMS Alerts, (5) Change Location, (6) Change Language.</w:t>
      </w:r>
    </w:p>
    <w:p>
      <w:pPr>
        <w:pStyle w:val="ListBullet"/>
        <w:spacing w:after="60"/>
      </w:pPr>
      <w:r>
        <w:rPr>
          <w:sz w:val="22"/>
        </w:rPr>
        <w:t>Session Management: State machine with enum states (MainMenu, ViewingForecast, RegisteringLocation, etc.).</w:t>
      </w:r>
    </w:p>
    <w:p>
      <w:pPr>
        <w:pStyle w:val="ListBullet"/>
        <w:spacing w:after="60"/>
      </w:pPr>
      <w:r>
        <w:rPr>
          <w:sz w:val="22"/>
        </w:rPr>
        <w:t>i18n: 5 languages (English, Luganda, Runyankole, Acholi, Swahili) with 15+ translated message keys.</w:t>
      </w:r>
    </w:p>
    <w:p>
      <w:pPr>
        <w:pStyle w:val="ListBullet"/>
        <w:spacing w:after="60"/>
      </w:pPr>
      <w:r>
        <w:rPr>
          <w:sz w:val="22"/>
        </w:rPr>
        <w:t>WBGT Engine: Same ISO 7243 calculations implemented natively in Rust.</w:t>
      </w:r>
    </w:p>
    <w:p>
      <w:pPr>
        <w:pStyle w:val="ListBullet"/>
        <w:spacing w:after="60"/>
      </w:pPr>
      <w:r>
        <w:rPr>
          <w:sz w:val="22"/>
        </w:rPr>
        <w:t>Location Service: 16 Uganda districts, haversine distance calculation, region filtering.</w:t>
      </w:r>
    </w:p>
    <w:p>
      <w:pPr>
        <w:pStyle w:val="ListBullet"/>
        <w:spacing w:after="60"/>
      </w:pPr>
      <w:r>
        <w:rPr>
          <w:sz w:val="22"/>
        </w:rPr>
        <w:t>Configuration: Environment variables for database, Redis, API keys, session timeout.</w:t>
      </w:r>
    </w:p>
    <w:p>
      <w:pPr>
        <w:pStyle w:val="Heading2"/>
      </w:pPr>
      <w:r>
        <w:rPr>
          <w:color w:val="1E3A26"/>
          <w:sz w:val="28"/>
        </w:rPr>
        <w:t>5.2  USSD — Infrastructure</w:t>
      </w:r>
    </w:p>
    <w:p>
      <w:pPr>
        <w:spacing w:after="160"/>
      </w:pPr>
      <w:r>
        <w:rPr>
          <w:sz w:val="22"/>
        </w:rPr>
        <w:t>The following infrastructure components are configured but not yet connected to live services:</w:t>
      </w:r>
    </w:p>
    <w:p>
      <w:pPr>
        <w:pStyle w:val="ListBullet"/>
        <w:spacing w:after="60"/>
      </w:pPr>
      <w:r>
        <w:rPr>
          <w:sz w:val="22"/>
        </w:rPr>
        <w:t>PostgreSQL for user data persistence.</w:t>
      </w:r>
    </w:p>
    <w:p>
      <w:pPr>
        <w:pStyle w:val="ListBullet"/>
        <w:spacing w:after="60"/>
      </w:pPr>
      <w:r>
        <w:rPr>
          <w:sz w:val="22"/>
        </w:rPr>
        <w:t>Redis for session management.</w:t>
      </w:r>
    </w:p>
    <w:p>
      <w:pPr>
        <w:pStyle w:val="ListBullet"/>
        <w:spacing w:after="60"/>
      </w:pPr>
      <w:r>
        <w:rPr>
          <w:sz w:val="22"/>
        </w:rPr>
        <w:t>Africa's Talking for SMS delivery.</w:t>
      </w:r>
    </w:p>
    <w:p>
      <w:pPr>
        <w:pStyle w:val="ListBullet"/>
        <w:spacing w:after="60"/>
      </w:pPr>
      <w:r>
        <w:rPr>
          <w:sz w:val="22"/>
        </w:rPr>
        <w:t>Docker multi-stage build (rust:1.74-slim builder, debian:bookworm-slim runtime).</w:t>
      </w:r>
    </w:p>
    <w:p>
      <w:r>
        <w:br w:type="page"/>
      </w:r>
    </w:p>
    <w:p>
      <w:pPr>
        <w:pStyle w:val="Heading1"/>
        <w:spacing w:before="360" w:after="200"/>
      </w:pPr>
      <w:r>
        <w:rPr>
          <w:color w:val="2E7D32"/>
          <w:sz w:val="36"/>
        </w:rPr>
        <w:t>6.  WASM Engine Architecture</w:t>
      </w:r>
    </w:p>
    <w:p>
      <w:pPr>
        <w:spacing w:after="160"/>
      </w:pPr>
      <w:r>
        <w:rPr>
          <w:sz w:val="22"/>
        </w:rPr>
        <w:t>The WASM engine is a Rust library that compiles to WebAssembly, providing browser-native performance for computationally intensive heat stress calculations. The complete source code is ready; a JavaScript fallback is currently used in production while WASM compilation is finalised.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D32"/>
          </w:tcPr>
          <w:p>
            <w:pPr>
              <w:spacing w:after="40" w:before="40"/>
              <w:jc w:val="center"/>
            </w:pPr>
            <w:r/>
            <w:r>
              <w:rPr>
                <w:b/>
                <w:color w:val="FFFFFF"/>
                <w:sz w:val="20"/>
              </w:rPr>
              <w:t>Module</w:t>
            </w:r>
          </w:p>
        </w:tc>
        <w:tc>
          <w:tcPr>
            <w:tcW w:type="dxa" w:w="3135"/>
            <w:shd w:fill="2E7D32"/>
          </w:tcPr>
          <w:p>
            <w:pPr>
              <w:spacing w:after="40" w:before="40"/>
              <w:jc w:val="center"/>
            </w:pPr>
            <w:r/>
            <w:r>
              <w:rPr>
                <w:b/>
                <w:color w:val="FFFFFF"/>
                <w:sz w:val="20"/>
              </w:rPr>
              <w:t>Description</w:t>
            </w:r>
          </w:p>
        </w:tc>
        <w:tc>
          <w:tcPr>
            <w:tcW w:type="dxa" w:w="3135"/>
            <w:shd w:fill="2E7D32"/>
          </w:tcPr>
          <w:p>
            <w:pPr>
              <w:spacing w:after="40" w:before="40"/>
              <w:jc w:val="center"/>
            </w:pPr>
            <w:r/>
            <w:r>
              <w:rPr>
                <w:b/>
                <w:color w:val="FFFFFF"/>
                <w:sz w:val="20"/>
              </w:rPr>
              <w:t>Lines of Code</w:t>
            </w:r>
          </w:p>
        </w:tc>
      </w:tr>
      <w:tr>
        <w:tc>
          <w:tcPr>
            <w:tcW w:type="dxa" w:w="3135"/>
          </w:tcPr>
          <w:p>
            <w:pPr>
              <w:spacing w:after="40" w:before="40"/>
            </w:pPr>
            <w:r/>
            <w:r>
              <w:rPr>
                <w:sz w:val="20"/>
              </w:rPr>
              <w:t>wbgt.rs</w:t>
            </w:r>
          </w:p>
        </w:tc>
        <w:tc>
          <w:tcPr>
            <w:tcW w:type="dxa" w:w="3135"/>
          </w:tcPr>
          <w:p>
            <w:pPr>
              <w:spacing w:after="40" w:before="40"/>
            </w:pPr>
            <w:r/>
            <w:r>
              <w:rPr>
                <w:sz w:val="20"/>
              </w:rPr>
              <w:t>ISO 7243 WBGT calculation</w:t>
            </w:r>
          </w:p>
        </w:tc>
        <w:tc>
          <w:tcPr>
            <w:tcW w:type="dxa" w:w="3135"/>
          </w:tcPr>
          <w:p>
            <w:pPr>
              <w:spacing w:after="40" w:before="40"/>
            </w:pPr>
            <w:r/>
            <w:r>
              <w:rPr>
                <w:sz w:val="20"/>
              </w:rPr>
              <w:t>213</w:t>
            </w:r>
          </w:p>
        </w:tc>
      </w:tr>
      <w:tr>
        <w:tc>
          <w:tcPr>
            <w:tcW w:type="dxa" w:w="3135"/>
            <w:shd w:fill="E8F5E9"/>
          </w:tcPr>
          <w:p>
            <w:pPr>
              <w:spacing w:after="40" w:before="40"/>
            </w:pPr>
            <w:r/>
            <w:r>
              <w:rPr>
                <w:sz w:val="20"/>
              </w:rPr>
              <w:t>risk.rs</w:t>
            </w:r>
          </w:p>
        </w:tc>
        <w:tc>
          <w:tcPr>
            <w:tcW w:type="dxa" w:w="3135"/>
            <w:shd w:fill="E8F5E9"/>
          </w:tcPr>
          <w:p>
            <w:pPr>
              <w:spacing w:after="40" w:before="40"/>
            </w:pPr>
            <w:r/>
            <w:r>
              <w:rPr>
                <w:sz w:val="20"/>
              </w:rPr>
              <w:t>Risk classification with local language messages</w:t>
            </w:r>
          </w:p>
        </w:tc>
        <w:tc>
          <w:tcPr>
            <w:tcW w:type="dxa" w:w="3135"/>
            <w:shd w:fill="E8F5E9"/>
          </w:tcPr>
          <w:p>
            <w:pPr>
              <w:spacing w:after="40" w:before="40"/>
            </w:pPr>
            <w:r/>
            <w:r>
              <w:rPr>
                <w:sz w:val="20"/>
              </w:rPr>
              <w:t>250</w:t>
            </w:r>
          </w:p>
        </w:tc>
      </w:tr>
      <w:tr>
        <w:tc>
          <w:tcPr>
            <w:tcW w:type="dxa" w:w="3135"/>
          </w:tcPr>
          <w:p>
            <w:pPr>
              <w:spacing w:after="40" w:before="40"/>
            </w:pPr>
            <w:r/>
            <w:r>
              <w:rPr>
                <w:sz w:val="20"/>
              </w:rPr>
              <w:t>spatial.rs</w:t>
            </w:r>
          </w:p>
        </w:tc>
        <w:tc>
          <w:tcPr>
            <w:tcW w:type="dxa" w:w="3135"/>
          </w:tcPr>
          <w:p>
            <w:pPr>
              <w:spacing w:after="40" w:before="40"/>
            </w:pPr>
            <w:r/>
            <w:r>
              <w:rPr>
                <w:sz w:val="20"/>
              </w:rPr>
              <w:t>IDW spatial interpolation, 5 km grid for Uganda</w:t>
            </w:r>
          </w:p>
        </w:tc>
        <w:tc>
          <w:tcPr>
            <w:tcW w:type="dxa" w:w="3135"/>
          </w:tcPr>
          <w:p>
            <w:pPr>
              <w:spacing w:after="40" w:before="40"/>
            </w:pPr>
            <w:r/>
            <w:r>
              <w:rPr>
                <w:sz w:val="20"/>
              </w:rPr>
              <w:t>244</w:t>
            </w:r>
          </w:p>
        </w:tc>
      </w:tr>
      <w:tr>
        <w:tc>
          <w:tcPr>
            <w:tcW w:type="dxa" w:w="3135"/>
            <w:shd w:fill="E8F5E9"/>
          </w:tcPr>
          <w:p>
            <w:pPr>
              <w:spacing w:after="40" w:before="40"/>
            </w:pPr>
            <w:r/>
            <w:r>
              <w:rPr>
                <w:sz w:val="20"/>
              </w:rPr>
              <w:t>schedule.rs</w:t>
            </w:r>
          </w:p>
        </w:tc>
        <w:tc>
          <w:tcPr>
            <w:tcW w:type="dxa" w:w="3135"/>
            <w:shd w:fill="E8F5E9"/>
          </w:tcPr>
          <w:p>
            <w:pPr>
              <w:spacing w:after="40" w:before="40"/>
            </w:pPr>
            <w:r/>
            <w:r>
              <w:rPr>
                <w:sz w:val="20"/>
              </w:rPr>
              <w:t>Work schedule optimisation</w:t>
            </w:r>
          </w:p>
        </w:tc>
        <w:tc>
          <w:tcPr>
            <w:tcW w:type="dxa" w:w="3135"/>
            <w:shd w:fill="E8F5E9"/>
          </w:tcPr>
          <w:p>
            <w:pPr>
              <w:spacing w:after="40" w:before="40"/>
            </w:pPr>
            <w:r/>
            <w:r>
              <w:rPr>
                <w:sz w:val="20"/>
              </w:rPr>
              <w:t>275</w:t>
            </w:r>
          </w:p>
        </w:tc>
      </w:tr>
    </w:tbl>
    <w:p/>
    <w:p>
      <w:pPr>
        <w:pStyle w:val="Heading2"/>
      </w:pPr>
      <w:r>
        <w:rPr>
          <w:color w:val="1E3A26"/>
          <w:sz w:val="28"/>
        </w:rPr>
        <w:t>6.1  WASM — Technical Details</w:t>
      </w:r>
    </w:p>
    <w:p>
      <w:pPr>
        <w:spacing w:after="160"/>
      </w:pPr>
      <w:r>
        <w:rPr>
          <w:sz w:val="22"/>
        </w:rPr>
        <w:t>The WASM engine is built with wasm-bindgen, js-sys, and web-sys for seamless JavaScript interoperability. Each module includes comprehensive unit tests.</w:t>
      </w:r>
    </w:p>
    <w:p>
      <w:pPr>
        <w:pStyle w:val="ListBullet"/>
        <w:spacing w:after="60"/>
      </w:pPr>
      <w:r>
        <w:rPr>
          <w:sz w:val="22"/>
        </w:rPr>
        <w:t>Stack: Rust, wasm-bindgen, js-sys, web-sys.</w:t>
      </w:r>
    </w:p>
    <w:p>
      <w:pPr>
        <w:pStyle w:val="ListBullet"/>
        <w:spacing w:after="60"/>
      </w:pPr>
      <w:r>
        <w:rPr>
          <w:sz w:val="22"/>
        </w:rPr>
        <w:t>Each module has its own unit test suite.</w:t>
      </w:r>
    </w:p>
    <w:p>
      <w:pPr>
        <w:pStyle w:val="ListBullet"/>
        <w:spacing w:after="60"/>
      </w:pPr>
      <w:r>
        <w:rPr>
          <w:sz w:val="22"/>
        </w:rPr>
        <w:t>Status: Complete source code; not yet compiled to WASM (JavaScript fallback used in production).</w:t>
      </w:r>
    </w:p>
    <w:p>
      <w:r>
        <w:br w:type="page"/>
      </w:r>
    </w:p>
    <w:p>
      <w:pPr>
        <w:pStyle w:val="Heading1"/>
        <w:spacing w:before="360" w:after="200"/>
      </w:pPr>
      <w:r>
        <w:rPr>
          <w:color w:val="2E7D32"/>
          <w:sz w:val="36"/>
        </w:rPr>
        <w:t>7.  Random Forest ML Pipeline</w:t>
      </w:r>
    </w:p>
    <w:p>
      <w:pPr>
        <w:spacing w:after="160"/>
      </w:pPr>
      <w:r>
        <w:rPr>
          <w:sz w:val="22"/>
        </w:rPr>
        <w:t>The ML pipeline enhances the physics-based WBGT predictions by training Random Forest models on historical weather data. The models are exported to ONNX format for cross-platform deployment.</w:t>
      </w:r>
    </w:p>
    <w:tbl>
      <w:tblPr>
        <w:tblStyle w:val="TableGrid"/>
        <w:tblW w:type="auto" w:w="0"/>
        <w:jc w:val="center"/>
        <w:tblLook w:firstColumn="1" w:firstRow="1" w:lastColumn="0" w:lastRow="0" w:noHBand="0" w:noVBand="1" w:val="04A0"/>
      </w:tblPr>
      <w:tblGrid>
        <w:gridCol w:w="4703"/>
        <w:gridCol w:w="4703"/>
      </w:tblGrid>
      <w:tr>
        <w:tc>
          <w:tcPr>
            <w:tcW w:type="dxa" w:w="4703"/>
            <w:shd w:fill="2E7D32"/>
          </w:tcPr>
          <w:p>
            <w:pPr>
              <w:spacing w:after="40" w:before="40"/>
              <w:jc w:val="center"/>
            </w:pPr>
            <w:r/>
            <w:r>
              <w:rPr>
                <w:b/>
                <w:color w:val="FFFFFF"/>
                <w:sz w:val="20"/>
              </w:rPr>
              <w:t>Attribute</w:t>
            </w:r>
          </w:p>
        </w:tc>
        <w:tc>
          <w:tcPr>
            <w:tcW w:type="dxa" w:w="4703"/>
            <w:shd w:fill="2E7D32"/>
          </w:tcPr>
          <w:p>
            <w:pPr>
              <w:spacing w:after="40" w:before="40"/>
              <w:jc w:val="center"/>
            </w:pPr>
            <w:r/>
            <w:r>
              <w:rPr>
                <w:b/>
                <w:color w:val="FFFFFF"/>
                <w:sz w:val="20"/>
              </w:rPr>
              <w:t>Detail</w:t>
            </w:r>
          </w:p>
        </w:tc>
      </w:tr>
      <w:tr>
        <w:tc>
          <w:tcPr>
            <w:tcW w:type="dxa" w:w="4703"/>
          </w:tcPr>
          <w:p>
            <w:pPr>
              <w:spacing w:after="40" w:before="40"/>
            </w:pPr>
            <w:r/>
            <w:r>
              <w:rPr>
                <w:sz w:val="20"/>
              </w:rPr>
              <w:t>Model Type</w:t>
            </w:r>
          </w:p>
        </w:tc>
        <w:tc>
          <w:tcPr>
            <w:tcW w:type="dxa" w:w="4703"/>
          </w:tcPr>
          <w:p>
            <w:pPr>
              <w:spacing w:after="40" w:before="40"/>
            </w:pPr>
            <w:r/>
            <w:r>
              <w:rPr>
                <w:sz w:val="20"/>
              </w:rPr>
              <w:t>Random Forest (scikit-learn trained, exported to ONNX)</w:t>
            </w:r>
          </w:p>
        </w:tc>
      </w:tr>
      <w:tr>
        <w:tc>
          <w:tcPr>
            <w:tcW w:type="dxa" w:w="4703"/>
            <w:shd w:fill="E8F5E9"/>
          </w:tcPr>
          <w:p>
            <w:pPr>
              <w:spacing w:after="40" w:before="40"/>
            </w:pPr>
            <w:r/>
            <w:r>
              <w:rPr>
                <w:sz w:val="20"/>
              </w:rPr>
              <w:t>Number of Models</w:t>
            </w:r>
          </w:p>
        </w:tc>
        <w:tc>
          <w:tcPr>
            <w:tcW w:type="dxa" w:w="4703"/>
            <w:shd w:fill="E8F5E9"/>
          </w:tcPr>
          <w:p>
            <w:pPr>
              <w:spacing w:after="40" w:before="40"/>
            </w:pPr>
            <w:r/>
            <w:r>
              <w:rPr>
                <w:sz w:val="20"/>
              </w:rPr>
              <w:t>3 (temperature, humidity, wind speed)</w:t>
            </w:r>
          </w:p>
        </w:tc>
      </w:tr>
      <w:tr>
        <w:tc>
          <w:tcPr>
            <w:tcW w:type="dxa" w:w="4703"/>
          </w:tcPr>
          <w:p>
            <w:pPr>
              <w:spacing w:after="40" w:before="40"/>
            </w:pPr>
            <w:r/>
            <w:r>
              <w:rPr>
                <w:sz w:val="20"/>
              </w:rPr>
              <w:t>Training Data</w:t>
            </w:r>
          </w:p>
        </w:tc>
        <w:tc>
          <w:tcPr>
            <w:tcW w:type="dxa" w:w="4703"/>
          </w:tcPr>
          <w:p>
            <w:pPr>
              <w:spacing w:after="40" w:before="40"/>
            </w:pPr>
            <w:r/>
            <w:r>
              <w:rPr>
                <w:sz w:val="20"/>
              </w:rPr>
              <w:t>Historical Open-Meteo weather data</w:t>
            </w:r>
          </w:p>
        </w:tc>
      </w:tr>
      <w:tr>
        <w:tc>
          <w:tcPr>
            <w:tcW w:type="dxa" w:w="4703"/>
            <w:shd w:fill="E8F5E9"/>
          </w:tcPr>
          <w:p>
            <w:pPr>
              <w:spacing w:after="40" w:before="40"/>
            </w:pPr>
            <w:r/>
            <w:r>
              <w:rPr>
                <w:sz w:val="20"/>
              </w:rPr>
              <w:t>Feature Count</w:t>
            </w:r>
          </w:p>
        </w:tc>
        <w:tc>
          <w:tcPr>
            <w:tcW w:type="dxa" w:w="4703"/>
            <w:shd w:fill="E8F5E9"/>
          </w:tcPr>
          <w:p>
            <w:pPr>
              <w:spacing w:after="40" w:before="40"/>
            </w:pPr>
            <w:r/>
            <w:r>
              <w:rPr>
                <w:sz w:val="20"/>
              </w:rPr>
              <w:t>17 features per prediction</w:t>
            </w:r>
          </w:p>
        </w:tc>
      </w:tr>
      <w:tr>
        <w:tc>
          <w:tcPr>
            <w:tcW w:type="dxa" w:w="4703"/>
          </w:tcPr>
          <w:p>
            <w:pPr>
              <w:spacing w:after="40" w:before="40"/>
            </w:pPr>
            <w:r/>
            <w:r>
              <w:rPr>
                <w:sz w:val="20"/>
              </w:rPr>
              <w:t>Deployment (Web)</w:t>
            </w:r>
          </w:p>
        </w:tc>
        <w:tc>
          <w:tcPr>
            <w:tcW w:type="dxa" w:w="4703"/>
          </w:tcPr>
          <w:p>
            <w:pPr>
              <w:spacing w:after="40" w:before="40"/>
            </w:pPr>
            <w:r/>
            <w:r>
              <w:rPr>
                <w:sz w:val="20"/>
              </w:rPr>
              <w:t>ONNX Runtime Web (JavaScript)</w:t>
            </w:r>
          </w:p>
        </w:tc>
      </w:tr>
      <w:tr>
        <w:tc>
          <w:tcPr>
            <w:tcW w:type="dxa" w:w="4703"/>
            <w:shd w:fill="E8F5E9"/>
          </w:tcPr>
          <w:p>
            <w:pPr>
              <w:spacing w:after="40" w:before="40"/>
            </w:pPr>
            <w:r/>
            <w:r>
              <w:rPr>
                <w:sz w:val="20"/>
              </w:rPr>
              <w:t>Deployment (Android)</w:t>
            </w:r>
          </w:p>
        </w:tc>
        <w:tc>
          <w:tcPr>
            <w:tcW w:type="dxa" w:w="4703"/>
            <w:shd w:fill="E8F5E9"/>
          </w:tcPr>
          <w:p>
            <w:pPr>
              <w:spacing w:after="40" w:before="40"/>
            </w:pPr>
            <w:r/>
            <w:r>
              <w:rPr>
                <w:sz w:val="20"/>
              </w:rPr>
              <w:t>ONNX Runtime Android (native C++ via JNI)</w:t>
            </w:r>
          </w:p>
        </w:tc>
      </w:tr>
      <w:tr>
        <w:tc>
          <w:tcPr>
            <w:tcW w:type="dxa" w:w="4703"/>
          </w:tcPr>
          <w:p>
            <w:pPr>
              <w:spacing w:after="40" w:before="40"/>
            </w:pPr>
            <w:r/>
            <w:r>
              <w:rPr>
                <w:sz w:val="20"/>
              </w:rPr>
              <w:t>Architecture</w:t>
            </w:r>
          </w:p>
        </w:tc>
        <w:tc>
          <w:tcPr>
            <w:tcW w:type="dxa" w:w="4703"/>
          </w:tcPr>
          <w:p>
            <w:pPr>
              <w:spacing w:after="40" w:before="40"/>
            </w:pPr>
            <w:r/>
            <w:r>
              <w:rPr>
                <w:sz w:val="20"/>
              </w:rPr>
              <w:t>Physics-first: NWP baseline; RF validates when MAE &lt;= 2.0°C</w:t>
            </w:r>
          </w:p>
        </w:tc>
      </w:tr>
    </w:tbl>
    <w:p/>
    <w:p>
      <w:pPr>
        <w:pStyle w:val="Heading2"/>
      </w:pPr>
      <w:r>
        <w:rPr>
          <w:color w:val="1E3A26"/>
          <w:sz w:val="28"/>
        </w:rPr>
        <w:t>7.1  Feature Engineering</w:t>
      </w:r>
    </w:p>
    <w:p>
      <w:pPr>
        <w:spacing w:after="160"/>
      </w:pPr>
      <w:r>
        <w:rPr>
          <w:sz w:val="22"/>
        </w:rPr>
        <w:t>Each prediction uses a 17-feature vector engineered from historical weather observations: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D32"/>
          </w:tcPr>
          <w:p>
            <w:pPr>
              <w:spacing w:after="40" w:before="40"/>
              <w:jc w:val="center"/>
            </w:pPr>
            <w:r/>
            <w:r>
              <w:rPr>
                <w:b/>
                <w:color w:val="FFFFFF"/>
                <w:sz w:val="20"/>
              </w:rPr>
              <w:t>Category</w:t>
            </w:r>
          </w:p>
        </w:tc>
        <w:tc>
          <w:tcPr>
            <w:tcW w:type="dxa" w:w="3135"/>
            <w:shd w:fill="2E7D32"/>
          </w:tcPr>
          <w:p>
            <w:pPr>
              <w:spacing w:after="40" w:before="40"/>
              <w:jc w:val="center"/>
            </w:pPr>
            <w:r/>
            <w:r>
              <w:rPr>
                <w:b/>
                <w:color w:val="FFFFFF"/>
                <w:sz w:val="20"/>
              </w:rPr>
              <w:t>Features</w:t>
            </w:r>
          </w:p>
        </w:tc>
        <w:tc>
          <w:tcPr>
            <w:tcW w:type="dxa" w:w="3135"/>
            <w:shd w:fill="2E7D32"/>
          </w:tcPr>
          <w:p>
            <w:pPr>
              <w:spacing w:after="40" w:before="40"/>
              <w:jc w:val="center"/>
            </w:pPr>
            <w:r/>
            <w:r>
              <w:rPr>
                <w:b/>
                <w:color w:val="FFFFFF"/>
                <w:sz w:val="20"/>
              </w:rPr>
              <w:t>Count</w:t>
            </w:r>
          </w:p>
        </w:tc>
      </w:tr>
      <w:tr>
        <w:tc>
          <w:tcPr>
            <w:tcW w:type="dxa" w:w="3135"/>
          </w:tcPr>
          <w:p>
            <w:pPr>
              <w:spacing w:after="40" w:before="40"/>
            </w:pPr>
            <w:r/>
            <w:r>
              <w:rPr>
                <w:sz w:val="20"/>
              </w:rPr>
              <w:t>Lag features</w:t>
            </w:r>
          </w:p>
        </w:tc>
        <w:tc>
          <w:tcPr>
            <w:tcW w:type="dxa" w:w="3135"/>
          </w:tcPr>
          <w:p>
            <w:pPr>
              <w:spacing w:after="40" w:before="40"/>
            </w:pPr>
            <w:r/>
            <w:r>
              <w:rPr>
                <w:sz w:val="20"/>
              </w:rPr>
              <w:t>t-1, t-2, t-3, t-6, t-12, t-24, t-48, t-72 hours</w:t>
            </w:r>
          </w:p>
        </w:tc>
        <w:tc>
          <w:tcPr>
            <w:tcW w:type="dxa" w:w="3135"/>
          </w:tcPr>
          <w:p>
            <w:pPr>
              <w:spacing w:after="40" w:before="40"/>
            </w:pPr>
            <w:r/>
            <w:r>
              <w:rPr>
                <w:sz w:val="20"/>
              </w:rPr>
              <w:t>8</w:t>
            </w:r>
          </w:p>
        </w:tc>
      </w:tr>
      <w:tr>
        <w:tc>
          <w:tcPr>
            <w:tcW w:type="dxa" w:w="3135"/>
            <w:shd w:fill="E8F5E9"/>
          </w:tcPr>
          <w:p>
            <w:pPr>
              <w:spacing w:after="40" w:before="40"/>
            </w:pPr>
            <w:r/>
            <w:r>
              <w:rPr>
                <w:sz w:val="20"/>
              </w:rPr>
              <w:t>Cyclical encodings</w:t>
            </w:r>
          </w:p>
        </w:tc>
        <w:tc>
          <w:tcPr>
            <w:tcW w:type="dxa" w:w="3135"/>
            <w:shd w:fill="E8F5E9"/>
          </w:tcPr>
          <w:p>
            <w:pPr>
              <w:spacing w:after="40" w:before="40"/>
            </w:pPr>
            <w:r/>
            <w:r>
              <w:rPr>
                <w:sz w:val="20"/>
              </w:rPr>
              <w:t>sin/cos of hour-of-day, sin/cos of day-of-year</w:t>
            </w:r>
          </w:p>
        </w:tc>
        <w:tc>
          <w:tcPr>
            <w:tcW w:type="dxa" w:w="3135"/>
            <w:shd w:fill="E8F5E9"/>
          </w:tcPr>
          <w:p>
            <w:pPr>
              <w:spacing w:after="40" w:before="40"/>
            </w:pPr>
            <w:r/>
            <w:r>
              <w:rPr>
                <w:sz w:val="20"/>
              </w:rPr>
              <w:t>4</w:t>
            </w:r>
          </w:p>
        </w:tc>
      </w:tr>
      <w:tr>
        <w:tc>
          <w:tcPr>
            <w:tcW w:type="dxa" w:w="3135"/>
          </w:tcPr>
          <w:p>
            <w:pPr>
              <w:spacing w:after="40" w:before="40"/>
            </w:pPr>
            <w:r/>
            <w:r>
              <w:rPr>
                <w:sz w:val="20"/>
              </w:rPr>
              <w:t>Rolling statistics</w:t>
            </w:r>
          </w:p>
        </w:tc>
        <w:tc>
          <w:tcPr>
            <w:tcW w:type="dxa" w:w="3135"/>
          </w:tcPr>
          <w:p>
            <w:pPr>
              <w:spacing w:after="40" w:before="40"/>
            </w:pPr>
            <w:r/>
            <w:r>
              <w:rPr>
                <w:sz w:val="20"/>
              </w:rPr>
              <w:t>mean_24h, mean_72h, std_24h</w:t>
            </w:r>
          </w:p>
        </w:tc>
        <w:tc>
          <w:tcPr>
            <w:tcW w:type="dxa" w:w="3135"/>
          </w:tcPr>
          <w:p>
            <w:pPr>
              <w:spacing w:after="40" w:before="40"/>
            </w:pPr>
            <w:r/>
            <w:r>
              <w:rPr>
                <w:sz w:val="20"/>
              </w:rPr>
              <w:t>3</w:t>
            </w:r>
          </w:p>
        </w:tc>
      </w:tr>
      <w:tr>
        <w:tc>
          <w:tcPr>
            <w:tcW w:type="dxa" w:w="3135"/>
            <w:shd w:fill="E8F5E9"/>
          </w:tcPr>
          <w:p>
            <w:pPr>
              <w:spacing w:after="40" w:before="40"/>
            </w:pPr>
            <w:r/>
            <w:r>
              <w:rPr>
                <w:sz w:val="20"/>
              </w:rPr>
              <w:t>Delta features</w:t>
            </w:r>
          </w:p>
        </w:tc>
        <w:tc>
          <w:tcPr>
            <w:tcW w:type="dxa" w:w="3135"/>
            <w:shd w:fill="E8F5E9"/>
          </w:tcPr>
          <w:p>
            <w:pPr>
              <w:spacing w:after="40" w:before="40"/>
            </w:pPr>
            <w:r/>
            <w:r>
              <w:rPr>
                <w:sz w:val="20"/>
              </w:rPr>
              <w:t>delta_1h, delta_24h</w:t>
            </w:r>
          </w:p>
        </w:tc>
        <w:tc>
          <w:tcPr>
            <w:tcW w:type="dxa" w:w="3135"/>
            <w:shd w:fill="E8F5E9"/>
          </w:tcPr>
          <w:p>
            <w:pPr>
              <w:spacing w:after="40" w:before="40"/>
            </w:pPr>
            <w:r/>
            <w:r>
              <w:rPr>
                <w:sz w:val="20"/>
              </w:rPr>
              <w:t>2</w:t>
            </w:r>
          </w:p>
        </w:tc>
      </w:tr>
    </w:tbl>
    <w:p/>
    <w:p>
      <w:pPr>
        <w:pStyle w:val="Heading2"/>
      </w:pPr>
      <w:r>
        <w:rPr>
          <w:color w:val="1E3A26"/>
          <w:sz w:val="28"/>
        </w:rPr>
        <w:t>7.2  Inference Architecture</w:t>
      </w:r>
    </w:p>
    <w:p>
      <w:pPr>
        <w:spacing w:after="160"/>
      </w:pPr>
      <w:r>
        <w:rPr>
          <w:sz w:val="22"/>
        </w:rPr>
        <w:t>The physics-first architecture ensures that the system always has a reliable baseline, with ML enhancing predictions only when it demonstrates sufficient accuracy:</w:t>
      </w:r>
    </w:p>
    <w:p>
      <w:pPr>
        <w:pStyle w:val="ListBullet"/>
        <w:spacing w:after="60"/>
      </w:pPr>
      <w:r>
        <w:rPr>
          <w:sz w:val="22"/>
        </w:rPr>
        <w:t>Step 1: Fetch NWP (Numerical Weather Prediction) forecast from Open-Meteo.</w:t>
      </w:r>
    </w:p>
    <w:p>
      <w:pPr>
        <w:pStyle w:val="ListBullet"/>
        <w:spacing w:after="60"/>
      </w:pPr>
      <w:r>
        <w:rPr>
          <w:sz w:val="22"/>
        </w:rPr>
        <w:t>Step 2: Compute physics WBGT using ISO 7243.</w:t>
      </w:r>
    </w:p>
    <w:p>
      <w:pPr>
        <w:pStyle w:val="ListBullet"/>
        <w:spacing w:after="60"/>
      </w:pPr>
      <w:r>
        <w:rPr>
          <w:sz w:val="22"/>
        </w:rPr>
        <w:t>Step 3: If RF models available, run the 17-feature pipeline to predict temperature, humidity, and wind speed.</w:t>
      </w:r>
    </w:p>
    <w:p>
      <w:pPr>
        <w:pStyle w:val="ListBullet"/>
        <w:spacing w:after="60"/>
      </w:pPr>
      <w:r>
        <w:rPr>
          <w:sz w:val="22"/>
        </w:rPr>
        <w:t>Step 4: Compute RF WBGT from the ML-predicted weather variables.</w:t>
      </w:r>
    </w:p>
    <w:p>
      <w:pPr>
        <w:pStyle w:val="ListBullet"/>
        <w:spacing w:after="60"/>
      </w:pPr>
      <w:r>
        <w:rPr>
          <w:sz w:val="22"/>
        </w:rPr>
        <w:t>Step 5: Compare RF vs Physics using MAE (Mean Absolute Error).</w:t>
      </w:r>
    </w:p>
    <w:p>
      <w:pPr>
        <w:pStyle w:val="ListBullet"/>
        <w:spacing w:after="60"/>
      </w:pPr>
      <w:r>
        <w:rPr>
          <w:sz w:val="22"/>
        </w:rPr>
        <w:t>Step 6: If MAE &lt;= 2.0°C, blend results (70% physics + 30% RF); otherwise, use physics only.</w:t>
      </w:r>
    </w:p>
    <w:p>
      <w:r>
        <w:br w:type="page"/>
      </w:r>
    </w:p>
    <w:p>
      <w:pPr>
        <w:pStyle w:val="Heading1"/>
        <w:spacing w:before="360" w:after="200"/>
      </w:pPr>
      <w:r>
        <w:rPr>
          <w:color w:val="2E7D32"/>
          <w:sz w:val="36"/>
        </w:rPr>
        <w:t>8.  Cross-Platform Consistency</w:t>
      </w:r>
    </w:p>
    <w:p>
      <w:pPr>
        <w:spacing w:after="160"/>
      </w:pPr>
      <w:r>
        <w:rPr>
          <w:sz w:val="22"/>
        </w:rPr>
        <w:t>A core design principle of HeatShield Agri is that every platform must produce identical results for the same inputs. The following table confirms that all platforms share the same scientific and data foundations.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E7D32"/>
          </w:tcPr>
          <w:p>
            <w:pPr>
              <w:spacing w:after="40" w:before="40"/>
              <w:jc w:val="center"/>
            </w:pPr>
            <w:r/>
            <w:r>
              <w:rPr>
                <w:b/>
                <w:color w:val="FFFFFF"/>
                <w:sz w:val="20"/>
              </w:rPr>
              <w:t>Component</w:t>
            </w:r>
          </w:p>
        </w:tc>
        <w:tc>
          <w:tcPr>
            <w:tcW w:type="dxa" w:w="1881"/>
            <w:shd w:fill="2E7D32"/>
          </w:tcPr>
          <w:p>
            <w:pPr>
              <w:spacing w:after="40" w:before="40"/>
              <w:jc w:val="center"/>
            </w:pPr>
            <w:r/>
            <w:r>
              <w:rPr>
                <w:b/>
                <w:color w:val="FFFFFF"/>
                <w:sz w:val="20"/>
              </w:rPr>
              <w:t>Web</w:t>
            </w:r>
          </w:p>
        </w:tc>
        <w:tc>
          <w:tcPr>
            <w:tcW w:type="dxa" w:w="1881"/>
            <w:shd w:fill="2E7D32"/>
          </w:tcPr>
          <w:p>
            <w:pPr>
              <w:spacing w:after="40" w:before="40"/>
              <w:jc w:val="center"/>
            </w:pPr>
            <w:r/>
            <w:r>
              <w:rPr>
                <w:b/>
                <w:color w:val="FFFFFF"/>
                <w:sz w:val="20"/>
              </w:rPr>
              <w:t>Android</w:t>
            </w:r>
          </w:p>
        </w:tc>
        <w:tc>
          <w:tcPr>
            <w:tcW w:type="dxa" w:w="1881"/>
            <w:shd w:fill="2E7D32"/>
          </w:tcPr>
          <w:p>
            <w:pPr>
              <w:spacing w:after="40" w:before="40"/>
              <w:jc w:val="center"/>
            </w:pPr>
            <w:r/>
            <w:r>
              <w:rPr>
                <w:b/>
                <w:color w:val="FFFFFF"/>
                <w:sz w:val="20"/>
              </w:rPr>
              <w:t>USSD</w:t>
            </w:r>
          </w:p>
        </w:tc>
        <w:tc>
          <w:tcPr>
            <w:tcW w:type="dxa" w:w="1881"/>
            <w:shd w:fill="2E7D32"/>
          </w:tcPr>
          <w:p>
            <w:pPr>
              <w:spacing w:after="40" w:before="40"/>
              <w:jc w:val="center"/>
            </w:pPr>
            <w:r/>
            <w:r>
              <w:rPr>
                <w:b/>
                <w:color w:val="FFFFFF"/>
                <w:sz w:val="20"/>
              </w:rPr>
              <w:t>WASM</w:t>
            </w:r>
          </w:p>
        </w:tc>
      </w:tr>
      <w:tr>
        <w:tc>
          <w:tcPr>
            <w:tcW w:type="dxa" w:w="1881"/>
          </w:tcPr>
          <w:p>
            <w:pPr>
              <w:spacing w:after="40" w:before="40"/>
            </w:pPr>
            <w:r/>
            <w:r>
              <w:rPr>
                <w:sz w:val="20"/>
              </w:rPr>
              <w:t>WBGT Formula</w:t>
            </w:r>
          </w:p>
        </w:tc>
        <w:tc>
          <w:tcPr>
            <w:tcW w:type="dxa" w:w="1881"/>
          </w:tcPr>
          <w:p>
            <w:pPr>
              <w:spacing w:after="40" w:before="40"/>
            </w:pPr>
            <w:r/>
            <w:r>
              <w:rPr>
                <w:sz w:val="20"/>
              </w:rPr>
              <w:t>ISO 7243</w:t>
            </w:r>
          </w:p>
        </w:tc>
        <w:tc>
          <w:tcPr>
            <w:tcW w:type="dxa" w:w="1881"/>
          </w:tcPr>
          <w:p>
            <w:pPr>
              <w:spacing w:after="40" w:before="40"/>
            </w:pPr>
            <w:r/>
            <w:r>
              <w:rPr>
                <w:sz w:val="20"/>
              </w:rPr>
              <w:t>ISO 7243</w:t>
            </w:r>
          </w:p>
        </w:tc>
        <w:tc>
          <w:tcPr>
            <w:tcW w:type="dxa" w:w="1881"/>
          </w:tcPr>
          <w:p>
            <w:pPr>
              <w:spacing w:after="40" w:before="40"/>
            </w:pPr>
            <w:r/>
            <w:r>
              <w:rPr>
                <w:sz w:val="20"/>
              </w:rPr>
              <w:t>ISO 7243</w:t>
            </w:r>
          </w:p>
        </w:tc>
        <w:tc>
          <w:tcPr>
            <w:tcW w:type="dxa" w:w="1881"/>
          </w:tcPr>
          <w:p>
            <w:pPr>
              <w:spacing w:after="40" w:before="40"/>
            </w:pPr>
            <w:r/>
            <w:r>
              <w:rPr>
                <w:sz w:val="20"/>
              </w:rPr>
              <w:t>ISO 7243</w:t>
            </w:r>
          </w:p>
        </w:tc>
      </w:tr>
      <w:tr>
        <w:tc>
          <w:tcPr>
            <w:tcW w:type="dxa" w:w="1881"/>
            <w:shd w:fill="E8F5E9"/>
          </w:tcPr>
          <w:p>
            <w:pPr>
              <w:spacing w:after="40" w:before="40"/>
            </w:pPr>
            <w:r/>
            <w:r>
              <w:rPr>
                <w:sz w:val="20"/>
              </w:rPr>
              <w:t>Wet-bulb Method</w:t>
            </w:r>
          </w:p>
        </w:tc>
        <w:tc>
          <w:tcPr>
            <w:tcW w:type="dxa" w:w="1881"/>
            <w:shd w:fill="E8F5E9"/>
          </w:tcPr>
          <w:p>
            <w:pPr>
              <w:spacing w:after="40" w:before="40"/>
            </w:pPr>
            <w:r/>
            <w:r>
              <w:rPr>
                <w:sz w:val="20"/>
              </w:rPr>
              <w:t>Stull (2011)</w:t>
            </w:r>
          </w:p>
        </w:tc>
        <w:tc>
          <w:tcPr>
            <w:tcW w:type="dxa" w:w="1881"/>
            <w:shd w:fill="E8F5E9"/>
          </w:tcPr>
          <w:p>
            <w:pPr>
              <w:spacing w:after="40" w:before="40"/>
            </w:pPr>
            <w:r/>
            <w:r>
              <w:rPr>
                <w:sz w:val="20"/>
              </w:rPr>
              <w:t>Stull (2011)</w:t>
            </w:r>
          </w:p>
        </w:tc>
        <w:tc>
          <w:tcPr>
            <w:tcW w:type="dxa" w:w="1881"/>
            <w:shd w:fill="E8F5E9"/>
          </w:tcPr>
          <w:p>
            <w:pPr>
              <w:spacing w:after="40" w:before="40"/>
            </w:pPr>
            <w:r/>
            <w:r>
              <w:rPr>
                <w:sz w:val="20"/>
              </w:rPr>
              <w:t>Stull (2011)</w:t>
            </w:r>
          </w:p>
        </w:tc>
        <w:tc>
          <w:tcPr>
            <w:tcW w:type="dxa" w:w="1881"/>
            <w:shd w:fill="E8F5E9"/>
          </w:tcPr>
          <w:p>
            <w:pPr>
              <w:spacing w:after="40" w:before="40"/>
            </w:pPr>
            <w:r/>
            <w:r>
              <w:rPr>
                <w:sz w:val="20"/>
              </w:rPr>
              <w:t>Stull (2011)</w:t>
            </w:r>
          </w:p>
        </w:tc>
      </w:tr>
      <w:tr>
        <w:tc>
          <w:tcPr>
            <w:tcW w:type="dxa" w:w="1881"/>
          </w:tcPr>
          <w:p>
            <w:pPr>
              <w:spacing w:after="40" w:before="40"/>
            </w:pPr>
            <w:r/>
            <w:r>
              <w:rPr>
                <w:sz w:val="20"/>
              </w:rPr>
              <w:t>Globe Temp Method</w:t>
            </w:r>
          </w:p>
        </w:tc>
        <w:tc>
          <w:tcPr>
            <w:tcW w:type="dxa" w:w="1881"/>
          </w:tcPr>
          <w:p>
            <w:pPr>
              <w:spacing w:after="40" w:before="40"/>
            </w:pPr>
            <w:r/>
            <w:r>
              <w:rPr>
                <w:sz w:val="20"/>
              </w:rPr>
              <w:t>Liljegren (N-R)</w:t>
            </w:r>
          </w:p>
        </w:tc>
        <w:tc>
          <w:tcPr>
            <w:tcW w:type="dxa" w:w="1881"/>
          </w:tcPr>
          <w:p>
            <w:pPr>
              <w:spacing w:after="40" w:before="40"/>
            </w:pPr>
            <w:r/>
            <w:r>
              <w:rPr>
                <w:sz w:val="20"/>
              </w:rPr>
              <w:t>Liljegren (N-R)</w:t>
            </w:r>
          </w:p>
        </w:tc>
        <w:tc>
          <w:tcPr>
            <w:tcW w:type="dxa" w:w="1881"/>
          </w:tcPr>
          <w:p>
            <w:pPr>
              <w:spacing w:after="40" w:before="40"/>
            </w:pPr>
            <w:r/>
            <w:r>
              <w:rPr>
                <w:sz w:val="20"/>
              </w:rPr>
              <w:t>Liljegren (N-R)</w:t>
            </w:r>
          </w:p>
        </w:tc>
        <w:tc>
          <w:tcPr>
            <w:tcW w:type="dxa" w:w="1881"/>
          </w:tcPr>
          <w:p>
            <w:pPr>
              <w:spacing w:after="40" w:before="40"/>
            </w:pPr>
            <w:r/>
            <w:r>
              <w:rPr>
                <w:sz w:val="20"/>
              </w:rPr>
              <w:t>Liljegren (N-R)</w:t>
            </w:r>
          </w:p>
        </w:tc>
      </w:tr>
      <w:tr>
        <w:tc>
          <w:tcPr>
            <w:tcW w:type="dxa" w:w="1881"/>
            <w:shd w:fill="E8F5E9"/>
          </w:tcPr>
          <w:p>
            <w:pPr>
              <w:spacing w:after="40" w:before="40"/>
            </w:pPr>
            <w:r/>
            <w:r>
              <w:rPr>
                <w:sz w:val="20"/>
              </w:rPr>
              <w:t>Risk Thresholds</w:t>
            </w:r>
          </w:p>
        </w:tc>
        <w:tc>
          <w:tcPr>
            <w:tcW w:type="dxa" w:w="1881"/>
            <w:shd w:fill="E8F5E9"/>
          </w:tcPr>
          <w:p>
            <w:pPr>
              <w:spacing w:after="40" w:before="40"/>
            </w:pPr>
            <w:r/>
            <w:r>
              <w:rPr>
                <w:sz w:val="20"/>
              </w:rPr>
              <w:t>5 levels</w:t>
            </w:r>
          </w:p>
        </w:tc>
        <w:tc>
          <w:tcPr>
            <w:tcW w:type="dxa" w:w="1881"/>
            <w:shd w:fill="E8F5E9"/>
          </w:tcPr>
          <w:p>
            <w:pPr>
              <w:spacing w:after="40" w:before="40"/>
            </w:pPr>
            <w:r/>
            <w:r>
              <w:rPr>
                <w:sz w:val="20"/>
              </w:rPr>
              <w:t>5 levels</w:t>
            </w:r>
          </w:p>
        </w:tc>
        <w:tc>
          <w:tcPr>
            <w:tcW w:type="dxa" w:w="1881"/>
            <w:shd w:fill="E8F5E9"/>
          </w:tcPr>
          <w:p>
            <w:pPr>
              <w:spacing w:after="40" w:before="40"/>
            </w:pPr>
            <w:r/>
            <w:r>
              <w:rPr>
                <w:sz w:val="20"/>
              </w:rPr>
              <w:t>5 levels</w:t>
            </w:r>
          </w:p>
        </w:tc>
        <w:tc>
          <w:tcPr>
            <w:tcW w:type="dxa" w:w="1881"/>
            <w:shd w:fill="E8F5E9"/>
          </w:tcPr>
          <w:p>
            <w:pPr>
              <w:spacing w:after="40" w:before="40"/>
            </w:pPr>
            <w:r/>
            <w:r>
              <w:rPr>
                <w:sz w:val="20"/>
              </w:rPr>
              <w:t>5 levels</w:t>
            </w:r>
          </w:p>
        </w:tc>
      </w:tr>
      <w:tr>
        <w:tc>
          <w:tcPr>
            <w:tcW w:type="dxa" w:w="1881"/>
          </w:tcPr>
          <w:p>
            <w:pPr>
              <w:spacing w:after="40" w:before="40"/>
            </w:pPr>
            <w:r/>
            <w:r>
              <w:rPr>
                <w:sz w:val="20"/>
              </w:rPr>
              <w:t>Weather API</w:t>
            </w:r>
          </w:p>
        </w:tc>
        <w:tc>
          <w:tcPr>
            <w:tcW w:type="dxa" w:w="1881"/>
          </w:tcPr>
          <w:p>
            <w:pPr>
              <w:spacing w:after="40" w:before="40"/>
            </w:pPr>
            <w:r/>
            <w:r>
              <w:rPr>
                <w:sz w:val="20"/>
              </w:rPr>
              <w:t>Open-Meteo</w:t>
            </w:r>
          </w:p>
        </w:tc>
        <w:tc>
          <w:tcPr>
            <w:tcW w:type="dxa" w:w="1881"/>
          </w:tcPr>
          <w:p>
            <w:pPr>
              <w:spacing w:after="40" w:before="40"/>
            </w:pPr>
            <w:r/>
            <w:r>
              <w:rPr>
                <w:sz w:val="20"/>
              </w:rPr>
              <w:t>Open-Meteo</w:t>
            </w:r>
          </w:p>
        </w:tc>
        <w:tc>
          <w:tcPr>
            <w:tcW w:type="dxa" w:w="1881"/>
          </w:tcPr>
          <w:p>
            <w:pPr>
              <w:spacing w:after="40" w:before="40"/>
            </w:pPr>
            <w:r/>
            <w:r>
              <w:rPr>
                <w:sz w:val="20"/>
              </w:rPr>
              <w:t>Open-Meteo</w:t>
            </w:r>
          </w:p>
        </w:tc>
        <w:tc>
          <w:tcPr>
            <w:tcW w:type="dxa" w:w="1881"/>
          </w:tcPr>
          <w:p>
            <w:pPr>
              <w:spacing w:after="40" w:before="40"/>
            </w:pPr>
            <w:r/>
            <w:r>
              <w:rPr>
                <w:sz w:val="20"/>
              </w:rPr>
              <w:t>N/A (lib)</w:t>
            </w:r>
          </w:p>
        </w:tc>
      </w:tr>
      <w:tr>
        <w:tc>
          <w:tcPr>
            <w:tcW w:type="dxa" w:w="1881"/>
            <w:shd w:fill="E8F5E9"/>
          </w:tcPr>
          <w:p>
            <w:pPr>
              <w:spacing w:after="40" w:before="40"/>
            </w:pPr>
            <w:r/>
            <w:r>
              <w:rPr>
                <w:sz w:val="20"/>
              </w:rPr>
              <w:t>Languages</w:t>
            </w:r>
          </w:p>
        </w:tc>
        <w:tc>
          <w:tcPr>
            <w:tcW w:type="dxa" w:w="1881"/>
            <w:shd w:fill="E8F5E9"/>
          </w:tcPr>
          <w:p>
            <w:pPr>
              <w:spacing w:after="40" w:before="40"/>
            </w:pPr>
            <w:r/>
            <w:r>
              <w:rPr>
                <w:sz w:val="20"/>
              </w:rPr>
              <w:t>5</w:t>
            </w:r>
          </w:p>
        </w:tc>
        <w:tc>
          <w:tcPr>
            <w:tcW w:type="dxa" w:w="1881"/>
            <w:shd w:fill="E8F5E9"/>
          </w:tcPr>
          <w:p>
            <w:pPr>
              <w:spacing w:after="40" w:before="40"/>
            </w:pPr>
            <w:r/>
            <w:r>
              <w:rPr>
                <w:sz w:val="20"/>
              </w:rPr>
              <w:t>5</w:t>
            </w:r>
          </w:p>
        </w:tc>
        <w:tc>
          <w:tcPr>
            <w:tcW w:type="dxa" w:w="1881"/>
            <w:shd w:fill="E8F5E9"/>
          </w:tcPr>
          <w:p>
            <w:pPr>
              <w:spacing w:after="40" w:before="40"/>
            </w:pPr>
            <w:r/>
            <w:r>
              <w:rPr>
                <w:sz w:val="20"/>
              </w:rPr>
              <w:t>5</w:t>
            </w:r>
          </w:p>
        </w:tc>
        <w:tc>
          <w:tcPr>
            <w:tcW w:type="dxa" w:w="1881"/>
            <w:shd w:fill="E8F5E9"/>
          </w:tcPr>
          <w:p>
            <w:pPr>
              <w:spacing w:after="40" w:before="40"/>
            </w:pPr>
            <w:r/>
            <w:r>
              <w:rPr>
                <w:sz w:val="20"/>
              </w:rPr>
              <w:t>5</w:t>
            </w:r>
          </w:p>
        </w:tc>
      </w:tr>
    </w:tbl>
    <w:p/>
    <w:p>
      <w:r>
        <w:br w:type="page"/>
      </w:r>
    </w:p>
    <w:p>
      <w:pPr>
        <w:pStyle w:val="Heading1"/>
        <w:spacing w:before="360" w:after="200"/>
      </w:pPr>
      <w:r>
        <w:rPr>
          <w:color w:val="2E7D32"/>
          <w:sz w:val="36"/>
        </w:rPr>
        <w:t>9.  Data Flow</w:t>
      </w:r>
    </w:p>
    <w:p>
      <w:pPr>
        <w:spacing w:after="160"/>
      </w:pPr>
      <w:r>
        <w:rPr>
          <w:sz w:val="22"/>
        </w:rPr>
        <w:t>All platforms consume weather data from the Open-Meteo API, which aggregates forecasts from ECMWF and GFS numerical weather prediction models.</w:t>
      </w:r>
    </w:p>
    <w:tbl>
      <w:tblPr>
        <w:tblStyle w:val="TableGrid"/>
        <w:tblW w:type="auto" w:w="0"/>
        <w:jc w:val="center"/>
        <w:tblLook w:firstColumn="1" w:firstRow="1" w:lastColumn="0" w:lastRow="0" w:noHBand="0" w:noVBand="1" w:val="04A0"/>
      </w:tblPr>
      <w:tblGrid>
        <w:gridCol w:w="4703"/>
        <w:gridCol w:w="4703"/>
      </w:tblGrid>
      <w:tr>
        <w:tc>
          <w:tcPr>
            <w:tcW w:type="dxa" w:w="4703"/>
            <w:shd w:fill="2E7D32"/>
          </w:tcPr>
          <w:p>
            <w:pPr>
              <w:spacing w:after="40" w:before="40"/>
              <w:jc w:val="center"/>
            </w:pPr>
            <w:r/>
            <w:r>
              <w:rPr>
                <w:b/>
                <w:color w:val="FFFFFF"/>
                <w:sz w:val="20"/>
              </w:rPr>
              <w:t>Parameter</w:t>
            </w:r>
          </w:p>
        </w:tc>
        <w:tc>
          <w:tcPr>
            <w:tcW w:type="dxa" w:w="4703"/>
            <w:shd w:fill="2E7D32"/>
          </w:tcPr>
          <w:p>
            <w:pPr>
              <w:spacing w:after="40" w:before="40"/>
              <w:jc w:val="center"/>
            </w:pPr>
            <w:r/>
            <w:r>
              <w:rPr>
                <w:b/>
                <w:color w:val="FFFFFF"/>
                <w:sz w:val="20"/>
              </w:rPr>
              <w:t>Detail</w:t>
            </w:r>
          </w:p>
        </w:tc>
      </w:tr>
      <w:tr>
        <w:tc>
          <w:tcPr>
            <w:tcW w:type="dxa" w:w="4703"/>
          </w:tcPr>
          <w:p>
            <w:pPr>
              <w:spacing w:after="40" w:before="40"/>
            </w:pPr>
            <w:r/>
            <w:r>
              <w:rPr>
                <w:sz w:val="20"/>
              </w:rPr>
              <w:t>Weather Source</w:t>
            </w:r>
          </w:p>
        </w:tc>
        <w:tc>
          <w:tcPr>
            <w:tcW w:type="dxa" w:w="4703"/>
          </w:tcPr>
          <w:p>
            <w:pPr>
              <w:spacing w:after="40" w:before="40"/>
            </w:pPr>
            <w:r/>
            <w:r>
              <w:rPr>
                <w:sz w:val="20"/>
              </w:rPr>
              <w:t>Open-Meteo API (ECMWF + GFS models)</w:t>
            </w:r>
          </w:p>
        </w:tc>
      </w:tr>
      <w:tr>
        <w:tc>
          <w:tcPr>
            <w:tcW w:type="dxa" w:w="4703"/>
            <w:shd w:fill="E8F5E9"/>
          </w:tcPr>
          <w:p>
            <w:pPr>
              <w:spacing w:after="40" w:before="40"/>
            </w:pPr>
            <w:r/>
            <w:r>
              <w:rPr>
                <w:sz w:val="20"/>
              </w:rPr>
              <w:t>Current Variables</w:t>
            </w:r>
          </w:p>
        </w:tc>
        <w:tc>
          <w:tcPr>
            <w:tcW w:type="dxa" w:w="4703"/>
            <w:shd w:fill="E8F5E9"/>
          </w:tcPr>
          <w:p>
            <w:pPr>
              <w:spacing w:after="40" w:before="40"/>
            </w:pPr>
            <w:r/>
            <w:r>
              <w:rPr>
                <w:sz w:val="20"/>
              </w:rPr>
              <w:t>temperature_2m, relative_humidity_2m, wind_speed_10m, weather_code, shortwave_radiation</w:t>
            </w:r>
          </w:p>
        </w:tc>
      </w:tr>
      <w:tr>
        <w:tc>
          <w:tcPr>
            <w:tcW w:type="dxa" w:w="4703"/>
          </w:tcPr>
          <w:p>
            <w:pPr>
              <w:spacing w:after="40" w:before="40"/>
            </w:pPr>
            <w:r/>
            <w:r>
              <w:rPr>
                <w:sz w:val="20"/>
              </w:rPr>
              <w:t>Historical Window</w:t>
            </w:r>
          </w:p>
        </w:tc>
        <w:tc>
          <w:tcPr>
            <w:tcW w:type="dxa" w:w="4703"/>
          </w:tcPr>
          <w:p>
            <w:pPr>
              <w:spacing w:after="40" w:before="40"/>
            </w:pPr>
            <w:r/>
            <w:r>
              <w:rPr>
                <w:sz w:val="20"/>
              </w:rPr>
              <w:t>past_days=4, forecast_days=2 (96 h history + 48 h forecast)</w:t>
            </w:r>
          </w:p>
        </w:tc>
      </w:tr>
      <w:tr>
        <w:tc>
          <w:tcPr>
            <w:tcW w:type="dxa" w:w="4703"/>
            <w:shd w:fill="E8F5E9"/>
          </w:tcPr>
          <w:p>
            <w:pPr>
              <w:spacing w:after="40" w:before="40"/>
            </w:pPr>
            <w:r/>
            <w:r>
              <w:rPr>
                <w:sz w:val="20"/>
              </w:rPr>
              <w:t>Timezone</w:t>
            </w:r>
          </w:p>
        </w:tc>
        <w:tc>
          <w:tcPr>
            <w:tcW w:type="dxa" w:w="4703"/>
            <w:shd w:fill="E8F5E9"/>
          </w:tcPr>
          <w:p>
            <w:pPr>
              <w:spacing w:after="40" w:before="40"/>
            </w:pPr>
            <w:r/>
            <w:r>
              <w:rPr>
                <w:sz w:val="20"/>
              </w:rPr>
              <w:t>Africa/Kampala</w:t>
            </w:r>
          </w:p>
        </w:tc>
      </w:tr>
    </w:tbl>
    <w:p/>
    <w:p>
      <w:pPr>
        <w:pStyle w:val="Heading2"/>
      </w:pPr>
      <w:r>
        <w:rPr>
          <w:color w:val="1E3A26"/>
          <w:sz w:val="28"/>
        </w:rPr>
        <w:t>9.1  Processing Pipeline</w:t>
      </w:r>
    </w:p>
    <w:p>
      <w:pPr>
        <w:spacing w:after="160"/>
      </w:pPr>
      <w:r>
        <w:rPr>
          <w:sz w:val="22"/>
        </w:rPr>
        <w:t>The data processing pipeline follows the same sequence across all platforms:</w:t>
      </w:r>
    </w:p>
    <w:p>
      <w:pPr>
        <w:pStyle w:val="ListBullet"/>
        <w:spacing w:after="60"/>
      </w:pPr>
      <w:r>
        <w:rPr>
          <w:sz w:val="22"/>
        </w:rPr>
        <w:t>Step 1: Fetch weather data from Open-Meteo API.</w:t>
      </w:r>
    </w:p>
    <w:p>
      <w:pPr>
        <w:pStyle w:val="ListBullet"/>
        <w:spacing w:after="60"/>
      </w:pPr>
      <w:r>
        <w:rPr>
          <w:sz w:val="22"/>
        </w:rPr>
        <w:t>Step 2: Compute physics WBGT using ISO 7243 (Stull wet-bulb, Liljegren globe temperature).</w:t>
      </w:r>
    </w:p>
    <w:p>
      <w:pPr>
        <w:pStyle w:val="ListBullet"/>
        <w:spacing w:after="60"/>
      </w:pPr>
      <w:r>
        <w:rPr>
          <w:sz w:val="22"/>
        </w:rPr>
        <w:t>Step 3: If RF models are available, run the 17-feature engineering pipeline.</w:t>
      </w:r>
    </w:p>
    <w:p>
      <w:pPr>
        <w:pStyle w:val="ListBullet"/>
        <w:spacing w:after="60"/>
      </w:pPr>
      <w:r>
        <w:rPr>
          <w:sz w:val="22"/>
        </w:rPr>
        <w:t>Step 4: Predict temperature, humidity, and wind speed via ONNX inference.</w:t>
      </w:r>
    </w:p>
    <w:p>
      <w:pPr>
        <w:pStyle w:val="ListBullet"/>
        <w:spacing w:after="60"/>
      </w:pPr>
      <w:r>
        <w:rPr>
          <w:sz w:val="22"/>
        </w:rPr>
        <w:t>Step 5: Compute RF WBGT from predicted variables.</w:t>
      </w:r>
    </w:p>
    <w:p>
      <w:pPr>
        <w:pStyle w:val="ListBullet"/>
        <w:spacing w:after="60"/>
      </w:pPr>
      <w:r>
        <w:rPr>
          <w:sz w:val="22"/>
        </w:rPr>
        <w:t>Step 6: Compare RF vs Physics (MAE); display both models or blend if within threshold.</w:t>
      </w:r>
    </w:p>
    <w:p>
      <w:r>
        <w:br w:type="page"/>
      </w:r>
    </w:p>
    <w:p>
      <w:pPr>
        <w:pStyle w:val="Heading1"/>
        <w:spacing w:before="360" w:after="200"/>
      </w:pPr>
      <w:r>
        <w:rPr>
          <w:color w:val="2E7D32"/>
          <w:sz w:val="36"/>
        </w:rPr>
        <w:t>10.  Security and Deployment</w:t>
      </w:r>
    </w:p>
    <w:p>
      <w:pPr>
        <w:spacing w:after="160"/>
      </w:pPr>
      <w:r>
        <w:rPr>
          <w:sz w:val="22"/>
        </w:rPr>
        <w:t>Each platform follows security best practices appropriate to its deployment context.</w:t>
      </w:r>
    </w:p>
    <w:tbl>
      <w:tblPr>
        <w:tblStyle w:val="TableGrid"/>
        <w:tblW w:type="auto" w:w="0"/>
        <w:jc w:val="center"/>
        <w:tblLook w:firstColumn="1" w:firstRow="1" w:lastColumn="0" w:lastRow="0" w:noHBand="0" w:noVBand="1" w:val="04A0"/>
      </w:tblPr>
      <w:tblGrid>
        <w:gridCol w:w="4703"/>
        <w:gridCol w:w="4703"/>
      </w:tblGrid>
      <w:tr>
        <w:tc>
          <w:tcPr>
            <w:tcW w:type="dxa" w:w="4703"/>
            <w:shd w:fill="2E7D32"/>
          </w:tcPr>
          <w:p>
            <w:pPr>
              <w:spacing w:after="40" w:before="40"/>
              <w:jc w:val="center"/>
            </w:pPr>
            <w:r/>
            <w:r>
              <w:rPr>
                <w:b/>
                <w:color w:val="FFFFFF"/>
                <w:sz w:val="20"/>
              </w:rPr>
              <w:t>Platform</w:t>
            </w:r>
          </w:p>
        </w:tc>
        <w:tc>
          <w:tcPr>
            <w:tcW w:type="dxa" w:w="4703"/>
            <w:shd w:fill="2E7D32"/>
          </w:tcPr>
          <w:p>
            <w:pPr>
              <w:spacing w:after="40" w:before="40"/>
              <w:jc w:val="center"/>
            </w:pPr>
            <w:r/>
            <w:r>
              <w:rPr>
                <w:b/>
                <w:color w:val="FFFFFF"/>
                <w:sz w:val="20"/>
              </w:rPr>
              <w:t>Security &amp; Deployment Measures</w:t>
            </w:r>
          </w:p>
        </w:tc>
      </w:tr>
      <w:tr>
        <w:tc>
          <w:tcPr>
            <w:tcW w:type="dxa" w:w="4703"/>
          </w:tcPr>
          <w:p>
            <w:pPr>
              <w:spacing w:after="40" w:before="40"/>
            </w:pPr>
            <w:r/>
            <w:r>
              <w:rPr>
                <w:sz w:val="20"/>
              </w:rPr>
              <w:t>Web</w:t>
            </w:r>
          </w:p>
        </w:tc>
        <w:tc>
          <w:tcPr>
            <w:tcW w:type="dxa" w:w="4703"/>
          </w:tcPr>
          <w:p>
            <w:pPr>
              <w:spacing w:after="40" w:before="40"/>
            </w:pPr>
            <w:r/>
            <w:r>
              <w:rPr>
                <w:sz w:val="20"/>
              </w:rPr>
              <w:t>Vercel with security headers, SPA routing, asset caching, HTTPS, Content-Security-Policy</w:t>
            </w:r>
          </w:p>
        </w:tc>
      </w:tr>
      <w:tr>
        <w:tc>
          <w:tcPr>
            <w:tcW w:type="dxa" w:w="4703"/>
            <w:shd w:fill="E8F5E9"/>
          </w:tcPr>
          <w:p>
            <w:pPr>
              <w:spacing w:after="40" w:before="40"/>
            </w:pPr>
            <w:r/>
            <w:r>
              <w:rPr>
                <w:sz w:val="20"/>
              </w:rPr>
              <w:t>Android</w:t>
            </w:r>
          </w:p>
        </w:tc>
        <w:tc>
          <w:tcPr>
            <w:tcW w:type="dxa" w:w="4703"/>
            <w:shd w:fill="E8F5E9"/>
          </w:tcPr>
          <w:p>
            <w:pPr>
              <w:spacing w:after="40" w:before="40"/>
            </w:pPr>
            <w:r/>
            <w:r>
              <w:rPr>
                <w:sz w:val="20"/>
              </w:rPr>
              <w:t>Hilt DI, ProGuard minification, release signing, secure API communication</w:t>
            </w:r>
          </w:p>
        </w:tc>
      </w:tr>
      <w:tr>
        <w:tc>
          <w:tcPr>
            <w:tcW w:type="dxa" w:w="4703"/>
          </w:tcPr>
          <w:p>
            <w:pPr>
              <w:spacing w:after="40" w:before="40"/>
            </w:pPr>
            <w:r/>
            <w:r>
              <w:rPr>
                <w:sz w:val="20"/>
              </w:rPr>
              <w:t>USSD</w:t>
            </w:r>
          </w:p>
        </w:tc>
        <w:tc>
          <w:tcPr>
            <w:tcW w:type="dxa" w:w="4703"/>
          </w:tcPr>
          <w:p>
            <w:pPr>
              <w:spacing w:after="40" w:before="40"/>
            </w:pPr>
            <w:r/>
            <w:r>
              <w:rPr>
                <w:sz w:val="20"/>
              </w:rPr>
              <w:t>Docker containerisation, non-root user, TLS, environment variable secrets management</w:t>
            </w:r>
          </w:p>
        </w:tc>
      </w:tr>
      <w:tr>
        <w:tc>
          <w:tcPr>
            <w:tcW w:type="dxa" w:w="4703"/>
            <w:shd w:fill="E8F5E9"/>
          </w:tcPr>
          <w:p>
            <w:pPr>
              <w:spacing w:after="40" w:before="40"/>
            </w:pPr>
            <w:r/>
            <w:r>
              <w:rPr>
                <w:sz w:val="20"/>
              </w:rPr>
              <w:t>Data Policy</w:t>
            </w:r>
          </w:p>
        </w:tc>
        <w:tc>
          <w:tcPr>
            <w:tcW w:type="dxa" w:w="4703"/>
            <w:shd w:fill="E8F5E9"/>
          </w:tcPr>
          <w:p>
            <w:pPr>
              <w:spacing w:after="40" w:before="40"/>
            </w:pPr>
            <w:r/>
            <w:r>
              <w:rPr>
                <w:sz w:val="20"/>
              </w:rPr>
              <w:t>Minimal collection (phone number + district only), TLS encryption, no data sales</w:t>
            </w:r>
          </w:p>
        </w:tc>
      </w:tr>
    </w:tbl>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6"/>
      </w:rPr>
      <w:t>Wayesu Community Research Organisation Ltd | Raymond Reuel Wayesu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