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B85042"/>
          <w:sz w:val="36"/>
          <w:szCs w:val="36"/>
        </w:rPr>
        <w:t xml:space="preserve">ACTIVATE AI CHALLENGE</w:t>
      </w:r>
    </w:p>
    <w:p>
      <w:pPr>
        <w:spacing w:after="100"/>
        <w:jc w:val="center"/>
      </w:pPr>
      <w:r>
        <w:rPr>
          <w:color w:val="1A1A2E"/>
          <w:sz w:val="28"/>
          <w:szCs w:val="28"/>
        </w:rPr>
        <w:t xml:space="preserve">Finalist Interview: Q&amp;A Preparation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>Detailed Talking Points for Raymond Reuel Wayesu</w:t>
      </w:r>
    </w:p>
    <w:p>
      <w:pPr>
        <w:spacing w:after="150"/>
      </w:pPr>
      <w:r>
        <w:rPr>
          <w:b/>
          <w:bCs/>
          <w:color w:val="2E5A8C"/>
          <w:sz w:val="24"/>
          <w:szCs w:val="24"/>
        </w:rPr>
        <w:t xml:space="preserve">INTERVIEW STRUCTURE</w:t>
      </w:r>
    </w:p>
    <w:p>
      <w:pPr>
        <w:spacing w:after="80"/>
      </w:pPr>
      <w:r>
        <w:rPr>
          <w:b/>
          <w:bCs/>
        </w:rPr>
        <w:t xml:space="preserve">• 5 minutes: </w:t>
      </w:r>
      <w:r>
        <w:t xml:space="preserve">Introductions</w:t>
      </w:r>
    </w:p>
    <w:p>
      <w:pPr>
        <w:spacing w:after="80"/>
      </w:pPr>
      <w:r>
        <w:rPr>
          <w:b/>
          <w:bCs/>
        </w:rPr>
        <w:t xml:space="preserve">• 10 minutes: </w:t>
      </w:r>
      <w:r>
        <w:t xml:space="preserve">Pitch the proposal</w:t>
      </w:r>
    </w:p>
    <w:p>
      <w:pPr>
        <w:spacing w:after="300"/>
      </w:pPr>
      <w:r>
        <w:rPr>
          <w:b/>
          <w:bCs/>
        </w:rPr>
        <w:t xml:space="preserve">• 30 minutes: </w:t>
      </w:r>
      <w:r>
        <w:t xml:space="preserve">Q&amp;A session</w:t>
      </w:r>
    </w:p>
    <w:p>
      <w:pPr>
        <w:pStyle w:val="Heading1"/>
      </w:pPr>
      <w:r>
        <w:t xml:space="preserve">SECTION 1: TECHNICAL &amp; AI QUESTIONS</w:t>
      </w:r>
    </w:p>
    <w:p>
      <w:pPr>
        <w:spacing w:after="150" w:before="300"/>
      </w:pPr>
      <w:r>
        <w:rPr>
          <w:b/>
          <w:bCs/>
          <w:color w:val="B85042"/>
        </w:rPr>
        <w:t xml:space="preserve">Q: How accurate are your WBGT predictions? What's your error rate?</w:t>
      </w:r>
    </w:p>
    <w:p>
      <w:pPr>
        <w:spacing w:after="100"/>
      </w:pPr>
      <w:r>
        <w:rPr>
          <w:b/>
          <w:bCs/>
          <w:i/>
          <w:iCs/>
          <w:color w:val="2E5A8C"/>
        </w:rPr>
        <w:t xml:space="preserve">Talking Points:</w:t>
      </w:r>
    </w:p>
    <w:p>
      <w:pPr>
        <w:spacing w:after="80"/>
        <w:ind w:left="360"/>
      </w:pPr>
      <w:r>
        <w:t xml:space="preserve">1. We use the ISO 7243 WBGT calculation standard, which is the internationally recognized method for occupational heat assessment. This isn't a custom algorithm—it's proven science.</w:t>
      </w:r>
    </w:p>
    <w:p>
      <w:pPr>
        <w:spacing w:after="80"/>
        <w:ind w:left="360"/>
      </w:pPr>
      <w:r>
        <w:t xml:space="preserve">2. Our predictions combine multiple data sources: Open-Meteo weather forecasts (which draw from ECMWF and GFS global models), terrain data from SRTM, and spatial interpolation using Inverse Distance Weighting.</w:t>
      </w:r>
    </w:p>
    <w:p>
      <w:pPr>
        <w:spacing w:after="80"/>
        <w:ind w:left="360"/>
      </w:pPr>
      <w:r>
        <w:t xml:space="preserve">3. Current MVP validation: We cross-reference our WBGT calculations against expected values from known weather conditions. The physics-based approach means our error comes primarily from upstream weather forecast uncertainty, not our calculations.</w:t>
      </w:r>
    </w:p>
    <w:p>
      <w:pPr>
        <w:spacing w:after="80"/>
        <w:ind w:left="360"/>
      </w:pPr>
      <w:r>
        <w:t xml:space="preserve">4. Planned improvements: Integration with ICPAC regional forecasts calibrated for East Africa will improve accuracy. We'll also collect ground-truth data during pilot to quantify actual prediction error.</w:t>
      </w:r>
    </w:p>
    <w:p>
      <w:pPr>
        <w:spacing w:after="80"/>
        <w:ind w:left="360"/>
      </w:pPr>
      <w:r>
        <w:t xml:space="preserve">5. Importantly, we display uncertainty bounds with every prediction—we never present point estimates as certainties. We also use conservative thresholds that err toward caution.</w:t>
      </w:r>
    </w:p>
    <w:p>
      <w:pPr>
        <w:shd w:fill="E8F5E9" w:val="clear"/>
        <w:spacing w:after="200" w:before="150"/>
      </w:pPr>
      <w:r>
        <w:rPr>
          <w:b/>
          <w:bCs/>
          <w:color w:val="2D6A4F"/>
        </w:rPr>
        <w:t xml:space="preserve">💡 Key Message: </w:t>
      </w:r>
      <w:r>
        <w:rPr>
          <w:i/>
          <w:iCs/>
          <w:color w:val="2D6A4F"/>
        </w:rPr>
        <w:t xml:space="preserve">Our predictions are based on international standards and multiple data sources. We're transparent about uncertainty and plan rigorous validation during the pilot.</w:t>
      </w:r>
    </w:p>
    <w:p>
      <w:pPr>
        <w:spacing w:after="150" w:before="300"/>
      </w:pPr>
      <w:r>
        <w:rPr>
          <w:b/>
          <w:bCs/>
          <w:color w:val="B85042"/>
        </w:rPr>
        <w:t>Q: Why did you choose Random Forest combined with a physics-based ISO 7243 model?</w:t>
      </w:r>
    </w:p>
    <w:p>
      <w:pPr>
        <w:spacing w:after="100"/>
      </w:pPr>
      <w:r>
        <w:rPr>
          <w:b/>
          <w:bCs/>
          <w:i/>
          <w:iCs/>
          <w:color w:val="2E5A8C"/>
        </w:rPr>
        <w:t xml:space="preserve">Talking Points:</w:t>
      </w:r>
    </w:p>
    <w:p>
      <w:pPr>
        <w:spacing w:after="80"/>
        <w:ind w:left="360"/>
      </w:pPr>
      <w:r>
        <w:t>1. The hybrid approach captures the best of both worlds: Random Forest excels at handling tabular data with complex feature interactions (temperature, humidity, wind, terrain) using an ensemble of decision trees, while the physics-based ISO 7243 layer ensures predictions respect known thermodynamic relationships. The Random Forest models are already deployed on Android via ONNX Runtime.</w:t>
      </w:r>
    </w:p>
    <w:p>
      <w:pPr>
        <w:spacing w:after="80"/>
        <w:ind w:left="360"/>
      </w:pPr>
      <w:r>
        <w:t xml:space="preserve">2. The physics-informed constraint (Tw + 0.7Tnwb + 0.2Tg approximation) prevents the model from making physically impossible predictions—a common failure mode of pure ML approaches.</w:t>
      </w:r>
    </w:p>
    <w:p>
      <w:pPr>
        <w:spacing w:after="80"/>
        <w:ind w:left="360"/>
      </w:pPr>
      <w:r>
        <w:t>3. Random Forest is computationally efficient and deployable without GPU infrastructure, critical for sustainable operations in our context. We've already deployed 3 ONNX models (temperature, humidity, wind speed) on Android with sub-second inference. Deep learning alternatives would require expensive cloud GPU instances.</w:t>
      </w:r>
    </w:p>
    <w:p>
      <w:pPr>
        <w:spacing w:after="80"/>
        <w:ind w:left="360"/>
      </w:pPr>
      <w:r>
        <w:t xml:space="preserve">4. This architecture is well-established in climate science applications—we're applying proven methods to an underserved use case, not inventing new ML techniques.</w:t>
      </w:r>
    </w:p>
    <w:p>
      <w:pPr>
        <w:shd w:fill="E8F5E9" w:val="clear"/>
        <w:spacing w:after="200" w:before="150"/>
      </w:pPr>
      <w:r>
        <w:rPr>
          <w:b/>
          <w:bCs/>
          <w:color w:val="2D6A4F"/>
        </w:rPr>
        <w:t xml:space="preserve">💡 Key Message: </w:t>
      </w:r>
      <w:r>
        <w:rPr>
          <w:i/>
          <w:iCs/>
          <w:color w:val="2D6A4F"/>
        </w:rPr>
        <w:t xml:space="preserve">We chose proven, efficient methods appropriate for our operational context. Innovation is in the application, not in creating novel algorithms.</w:t>
      </w:r>
    </w:p>
    <w:p>
      <w:pPr>
        <w:spacing w:after="150" w:before="300"/>
      </w:pPr>
      <w:r>
        <w:rPr>
          <w:b/>
          <w:bCs/>
          <w:color w:val="B85042"/>
        </w:rPr>
        <w:t xml:space="preserve">Q: How does your AI work schedule optimizer function?</w:t>
      </w:r>
    </w:p>
    <w:p>
      <w:pPr>
        <w:spacing w:after="100"/>
      </w:pPr>
      <w:r>
        <w:rPr>
          <w:b/>
          <w:bCs/>
          <w:i/>
          <w:iCs/>
          <w:color w:val="2E5A8C"/>
        </w:rPr>
        <w:t xml:space="preserve">Talking Points:</w:t>
      </w:r>
    </w:p>
    <w:p>
      <w:pPr>
        <w:spacing w:after="80"/>
        <w:ind w:left="360"/>
      </w:pPr>
      <w:r>
        <w:t xml:space="preserve">1. The optimizer analyzes the 72-hour WBGT forecast and identifies all hours below the recommended work threshold for the specific work intensity (we use ISO 7243 categories for moderate agricultural work).</w:t>
      </w:r>
    </w:p>
    <w:p>
      <w:pPr>
        <w:spacing w:after="80"/>
        <w:ind w:left="360"/>
      </w:pPr>
      <w:r>
        <w:t xml:space="preserve">2. It then applies constraints: farmers typically need 6-8 hours of productive work, prefer contiguous blocks, and work patterns should align with daylight hours.</w:t>
      </w:r>
    </w:p>
    <w:p>
      <w:pPr>
        <w:spacing w:after="80"/>
        <w:ind w:left="360"/>
      </w:pPr>
      <w:r>
        <w:t xml:space="preserve">3. The algorithm outputs recommended work windows (e.g., '5:00 AM - 11:00 AM, then 4:00 PM - 6:30 PM') with estimated safe work hours per day.</w:t>
      </w:r>
    </w:p>
    <w:p>
      <w:pPr>
        <w:spacing w:after="80"/>
        <w:ind w:left="360"/>
      </w:pPr>
      <w:r>
        <w:t xml:space="preserve">4. This is a constraint satisfaction problem, not complex ML—but presenting it as 'AI-optimized' is accurate because the recommendations emerge from processing thousands of forecast data points that humans couldn't manually analyze.</w:t>
      </w:r>
    </w:p>
    <w:p>
      <w:pPr>
        <w:shd w:fill="E8F5E9" w:val="clear"/>
        <w:spacing w:after="200" w:before="150"/>
      </w:pPr>
      <w:r>
        <w:rPr>
          <w:b/>
          <w:bCs/>
          <w:color w:val="2D6A4F"/>
        </w:rPr>
        <w:t xml:space="preserve">💡 Key Message: </w:t>
      </w:r>
      <w:r>
        <w:rPr>
          <w:i/>
          <w:iCs/>
          <w:color w:val="2D6A4F"/>
        </w:rPr>
        <w:t xml:space="preserve">The optimizer is practical and explainable—it finds safe hours within farmer constraints. It's AI in the sense of automated intelligent analysis, not black-box magic.</w:t>
      </w:r>
    </w:p>
    <w:p>
      <w:pPr>
        <w:spacing w:after="150" w:before="300"/>
      </w:pPr>
      <w:r>
        <w:rPr>
          <w:b/>
          <w:bCs/>
          <w:color w:val="B85042"/>
        </w:rPr>
        <w:t xml:space="preserve">Q: What happens when your system makes a wrong prediction?</w:t>
      </w:r>
    </w:p>
    <w:p>
      <w:pPr>
        <w:spacing w:after="100"/>
      </w:pPr>
      <w:r>
        <w:rPr>
          <w:b/>
          <w:bCs/>
          <w:i/>
          <w:iCs/>
          <w:color w:val="2E5A8C"/>
        </w:rPr>
        <w:t xml:space="preserve">Talking Points:</w:t>
      </w:r>
    </w:p>
    <w:p>
      <w:pPr>
        <w:spacing w:after="80"/>
        <w:ind w:left="360"/>
      </w:pPr>
      <w:r>
        <w:t xml:space="preserve">1. First, we design for this scenario explicitly. Every alert includes guidance to 'listen to your body' and recognize heat illness symptoms regardless of what the system says.</w:t>
      </w:r>
    </w:p>
    <w:p>
      <w:pPr>
        <w:spacing w:after="80"/>
        <w:ind w:left="360"/>
      </w:pPr>
      <w:r>
        <w:t xml:space="preserve">2. False negative (predicted safe but actually dangerous): Our conservative thresholds minimize this risk. We'd rather over-warn than under-warn. If a false negative is reported, we adjust thresholds upward for that region.</w:t>
      </w:r>
    </w:p>
    <w:p>
      <w:pPr>
        <w:spacing w:after="80"/>
        <w:ind w:left="360"/>
      </w:pPr>
      <w:r>
        <w:t xml:space="preserve">3. False positive (predicted dangerous but actually safe): This is less harmful—some lost productivity—but still problematic for trust. We track user feedback on whether conditions matched predictions and use this to improve calibration.</w:t>
      </w:r>
    </w:p>
    <w:p>
      <w:pPr>
        <w:spacing w:after="80"/>
        <w:ind w:left="360"/>
      </w:pPr>
      <w:r>
        <w:t xml:space="preserve">4. We implement a feedback loop: Users can report whether alerts matched reality via SMS. Systematic errors trigger model recalibration.</w:t>
      </w:r>
    </w:p>
    <w:p>
      <w:pPr>
        <w:spacing w:after="80"/>
        <w:ind w:left="360"/>
      </w:pPr>
      <w:r>
        <w:t xml:space="preserve">5. The pilot phase is explicitly designed to validate prediction accuracy against real conditions before scaling.</w:t>
      </w:r>
    </w:p>
    <w:p>
      <w:pPr>
        <w:shd w:fill="E8F5E9" w:val="clear"/>
        <w:spacing w:after="200" w:before="150"/>
      </w:pPr>
      <w:r>
        <w:rPr>
          <w:b/>
          <w:bCs/>
          <w:color w:val="2D6A4F"/>
        </w:rPr>
        <w:t xml:space="preserve">💡 Key Message: </w:t>
      </w:r>
      <w:r>
        <w:rPr>
          <w:i/>
          <w:iCs/>
          <w:color w:val="2D6A4F"/>
        </w:rPr>
        <w:t xml:space="preserve">We design for failure, use conservative thresholds, collect feedback, and continuously improve. No prediction system is perfect—the question is how you handle errors.</w:t>
      </w:r>
    </w:p>
    <w:p>
      <w:r>
        <w:br w:type="page"/>
      </w:r>
    </w:p>
    <w:p>
      <w:pPr>
        <w:pStyle w:val="Heading1"/>
      </w:pPr>
      <w:r>
        <w:t xml:space="preserve">SECTION 2: IMPACT &amp; REACH QUESTIONS</w:t>
      </w:r>
    </w:p>
    <w:p>
      <w:pPr>
        <w:spacing w:after="150" w:before="300"/>
      </w:pPr>
      <w:r>
        <w:rPr>
          <w:b/>
          <w:bCs/>
          <w:color w:val="B85042"/>
        </w:rPr>
        <w:t xml:space="preserve">Q: How will you reach farmers who don't have smartphones?</w:t>
      </w:r>
    </w:p>
    <w:p>
      <w:pPr>
        <w:spacing w:after="100"/>
      </w:pPr>
      <w:r>
        <w:rPr>
          <w:b/>
          <w:bCs/>
          <w:i/>
          <w:iCs/>
          <w:color w:val="2E5A8C"/>
        </w:rPr>
        <w:t xml:space="preserve">Talking Points:</w:t>
      </w:r>
    </w:p>
    <w:p>
      <w:pPr>
        <w:spacing w:after="80"/>
        <w:ind w:left="360"/>
      </w:pPr>
      <w:r>
        <w:t xml:space="preserve">1. This is exactly why we built USSD/SMS as a primary channel, not an afterthought. USSD works on any basic phone—the $15 feature phones that most Ugandan farmers have.</w:t>
      </w:r>
    </w:p>
    <w:p>
      <w:pPr>
        <w:spacing w:after="80"/>
        <w:ind w:left="360"/>
      </w:pPr>
      <w:r>
        <w:t xml:space="preserve">2. USSD menu: Farmers dial *384*HEAT# (or similar short code) and navigate simple numbered menus to check today's heat risk, get 3-day forecasts, or register for SMS alerts.</w:t>
      </w:r>
    </w:p>
    <w:p>
      <w:pPr>
        <w:spacing w:after="80"/>
        <w:ind w:left="360"/>
      </w:pPr>
      <w:r>
        <w:t xml:space="preserve">3. SMS alerts: Registered farmers receive automated alerts when WBGT exceeds their threshold. Messages are simple, actionable, in local languages: 'HIGH HEAT TODAY. Work 5AM-10AM only. Rest midday. Drink water every 30 min.'</w:t>
      </w:r>
    </w:p>
    <w:p>
      <w:pPr>
        <w:spacing w:after="80"/>
        <w:ind w:left="360"/>
      </w:pPr>
      <w:r>
        <w:t xml:space="preserve">4. Community amplification: For farmers without any phone, extension workers and cooperative leaders receive alerts and share information through existing community gatherings. Heat warnings become part of cooperative announcements.</w:t>
      </w:r>
    </w:p>
    <w:p>
      <w:pPr>
        <w:spacing w:after="80"/>
        <w:ind w:left="360"/>
      </w:pPr>
      <w:r>
        <w:t xml:space="preserve">5. No internet required: USSD and SMS work on 2G networks, which cover nearly all of Uganda including remote areas.</w:t>
      </w:r>
    </w:p>
    <w:p>
      <w:pPr>
        <w:shd w:fill="E8F5E9" w:val="clear"/>
        <w:spacing w:after="200" w:before="150"/>
      </w:pPr>
      <w:r>
        <w:rPr>
          <w:b/>
          <w:bCs/>
          <w:color w:val="2D6A4F"/>
        </w:rPr>
        <w:t xml:space="preserve">💡 Key Message: </w:t>
      </w:r>
      <w:r>
        <w:rPr>
          <w:i/>
          <w:iCs/>
          <w:color w:val="2D6A4F"/>
        </w:rPr>
        <w:t xml:space="preserve">We meet farmers where they are—feature phones, no internet, local languages. Technology should adapt to users, not vice versa.</w:t>
      </w:r>
    </w:p>
    <w:p>
      <w:pPr>
        <w:spacing w:after="150" w:before="300"/>
      </w:pPr>
      <w:r>
        <w:rPr>
          <w:b/>
          <w:bCs/>
          <w:color w:val="B85042"/>
        </w:rPr>
        <w:t xml:space="preserve">Q: Your target is 10,000 farmers in 12 months. How will you achieve this?</w:t>
      </w:r>
    </w:p>
    <w:p>
      <w:pPr>
        <w:spacing w:after="100"/>
      </w:pPr>
      <w:r>
        <w:rPr>
          <w:b/>
          <w:bCs/>
          <w:i/>
          <w:iCs/>
          <w:color w:val="2E5A8C"/>
        </w:rPr>
        <w:t xml:space="preserve">Talking Points:</w:t>
      </w:r>
    </w:p>
    <w:p>
      <w:pPr>
        <w:spacing w:after="80"/>
        <w:ind w:left="360"/>
      </w:pPr>
      <w:r>
        <w:t xml:space="preserve">1. We're not building a user acquisition machine from scratch—we're plugging into existing infrastructure with trusted relationships.</w:t>
      </w:r>
    </w:p>
    <w:p>
      <w:pPr>
        <w:spacing w:after="80"/>
        <w:ind w:left="360"/>
      </w:pPr>
      <w:r>
        <w:t xml:space="preserve">2. Cooperative partnership: UNFFE (Uganda National Farmers Federation) has established cooperative networks in our target districts. They become distribution partners, not just endorsers. We estimate 3-4 cooperatives with 500-2000 members each.</w:t>
      </w:r>
    </w:p>
    <w:p>
      <w:pPr>
        <w:spacing w:after="80"/>
        <w:ind w:left="360"/>
      </w:pPr>
      <w:r>
        <w:t xml:space="preserve">3. Extension worker network: We train 10 extension workers who each work with ~100 farmer groups. They register farmers during routine visits and train group leaders to cascade the information.</w:t>
      </w:r>
    </w:p>
    <w:p>
      <w:pPr>
        <w:spacing w:after="80"/>
        <w:ind w:left="360"/>
      </w:pPr>
      <w:r>
        <w:t xml:space="preserve">4. SMS broadcast efficiency: Once a farmer is registered (name, phone, district), delivery is automated. We're not doing 10,000 individual outreach—we're enabling organic spread through trusted channels.</w:t>
      </w:r>
    </w:p>
    <w:p>
      <w:pPr>
        <w:spacing w:after="80"/>
        <w:ind w:left="360"/>
      </w:pPr>
      <w:r>
        <w:t xml:space="preserve">5. Growth model: Months 1-3 = 500 farmers (proving model works), Months 4-6 = 2,000 (expansion within pilot districts), Months 7-12 = 10,000 (adding districts, word-of-mouth).</w:t>
      </w:r>
    </w:p>
    <w:p>
      <w:pPr>
        <w:shd w:fill="E8F5E9" w:val="clear"/>
        <w:spacing w:after="200" w:before="150"/>
      </w:pPr>
      <w:r>
        <w:rPr>
          <w:b/>
          <w:bCs/>
          <w:color w:val="2D6A4F"/>
        </w:rPr>
        <w:t xml:space="preserve">💡 Key Message: </w:t>
      </w:r>
      <w:r>
        <w:rPr>
          <w:i/>
          <w:iCs/>
          <w:color w:val="2D6A4F"/>
        </w:rPr>
        <w:t xml:space="preserve">We grow through existing trusted networks, not cold outreach. 10,000 is ambitious but achievable through partnerships already in discussion.</w:t>
      </w:r>
    </w:p>
    <w:p>
      <w:pPr>
        <w:spacing w:after="150" w:before="300"/>
      </w:pPr>
      <w:r>
        <w:rPr>
          <w:b/>
          <w:bCs/>
          <w:color w:val="B85042"/>
        </w:rPr>
        <w:t xml:space="preserve">Q: How do you measure actual health impact, not just engagement?</w:t>
      </w:r>
    </w:p>
    <w:p>
      <w:pPr>
        <w:spacing w:after="100"/>
      </w:pPr>
      <w:r>
        <w:rPr>
          <w:b/>
          <w:bCs/>
          <w:i/>
          <w:iCs/>
          <w:color w:val="2E5A8C"/>
        </w:rPr>
        <w:t xml:space="preserve">Talking Points:</w:t>
      </w:r>
    </w:p>
    <w:p>
      <w:pPr>
        <w:spacing w:after="80"/>
        <w:ind w:left="360"/>
      </w:pPr>
      <w:r>
        <w:t xml:space="preserve">1. Behavior change is our primary outcome—it's measurable and causally linked to health protection even without directly measuring illness rates.</w:t>
      </w:r>
    </w:p>
    <w:p>
      <w:pPr>
        <w:spacing w:after="80"/>
        <w:ind w:left="360"/>
      </w:pPr>
      <w:r>
        <w:t xml:space="preserve">2. Behavior metrics: Self-reported work schedule changes, water intake changes, shade-seeking behavior. Measured via monthly SMS check-ins and quarterly surveys.</w:t>
      </w:r>
    </w:p>
    <w:p>
      <w:pPr>
        <w:spacing w:after="80"/>
        <w:ind w:left="360"/>
      </w:pPr>
      <w:r>
        <w:t xml:space="preserve">3. Health symptom tracking: Baseline and endline surveys measuring self-reported heat illness symptoms (headache, dizziness, nausea, fatigue during hot periods). We compare users vs. non-users in same communities.</w:t>
      </w:r>
    </w:p>
    <w:p>
      <w:pPr>
        <w:spacing w:after="80"/>
        <w:ind w:left="360"/>
      </w:pPr>
      <w:r>
        <w:t xml:space="preserve">4. Health facility data: Partnership with local health centers to track heat-related visits. This is supplementary—we don't expect large numbers given our intervention is preventive.</w:t>
      </w:r>
    </w:p>
    <w:p>
      <w:pPr>
        <w:spacing w:after="80"/>
        <w:ind w:left="360"/>
      </w:pPr>
      <w:r>
        <w:t xml:space="preserve">5. Productivity metrics: Farmer-reported workdays lost to heat illness; cooperative-level productivity data where available.</w:t>
      </w:r>
    </w:p>
    <w:p>
      <w:pPr>
        <w:spacing w:after="80"/>
        <w:ind w:left="360"/>
      </w:pPr>
      <w:r>
        <w:t xml:space="preserve">6. Research partnership with Makerere University ensures methodological rigor—they'll help design the evaluation framework.</w:t>
      </w:r>
    </w:p>
    <w:p>
      <w:pPr>
        <w:shd w:fill="E8F5E9" w:val="clear"/>
        <w:spacing w:after="200" w:before="150"/>
      </w:pPr>
      <w:r>
        <w:rPr>
          <w:b/>
          <w:bCs/>
          <w:color w:val="2D6A4F"/>
        </w:rPr>
        <w:t xml:space="preserve">💡 Key Message: </w:t>
      </w:r>
      <w:r>
        <w:rPr>
          <w:i/>
          <w:iCs/>
          <w:color w:val="2D6A4F"/>
        </w:rPr>
        <w:t xml:space="preserve">We measure the full chain: alert delivery → behavior change → symptom reduction. Makerere partnership ensures rigorous evaluation design.</w:t>
      </w:r>
    </w:p>
    <w:p>
      <w:pPr>
        <w:spacing w:after="150" w:before="300"/>
      </w:pPr>
      <w:r>
        <w:rPr>
          <w:b/>
          <w:bCs/>
          <w:color w:val="B85042"/>
        </w:rPr>
        <w:t xml:space="preserve">Q: What about women farmers? How do you ensure equitable reach?</w:t>
      </w:r>
    </w:p>
    <w:p>
      <w:pPr>
        <w:spacing w:after="100"/>
      </w:pPr>
      <w:r>
        <w:rPr>
          <w:b/>
          <w:bCs/>
          <w:i/>
          <w:iCs/>
          <w:color w:val="2E5A8C"/>
        </w:rPr>
        <w:t xml:space="preserve">Talking Points:</w:t>
      </w:r>
    </w:p>
    <w:p>
      <w:pPr>
        <w:spacing w:after="80"/>
        <w:ind w:left="360"/>
      </w:pPr>
      <w:r>
        <w:t xml:space="preserve">1. We know women face HIGHER heat stress risk (research shows PSI 3.28 vs 2.9 for men) but often have LESS access to phones and information. This is a design priority, not an afterthought.</w:t>
      </w:r>
    </w:p>
    <w:p>
      <w:pPr>
        <w:spacing w:after="80"/>
        <w:ind w:left="360"/>
      </w:pPr>
      <w:r>
        <w:t xml:space="preserve">2. Women-specific outreach: We partner with women's farming groups and women-focused cooperatives. These groups have existing meeting structures where information can be shared.</w:t>
      </w:r>
    </w:p>
    <w:p>
      <w:pPr>
        <w:spacing w:after="80"/>
        <w:ind w:left="360"/>
      </w:pPr>
      <w:r>
        <w:t xml:space="preserve">3. Phone access reality: In many households, phones are shared or controlled by men. Our cooperative-level alerts ensure women learn about heat risk through group meetings even if they don't personally receive SMS.</w:t>
      </w:r>
    </w:p>
    <w:p>
      <w:pPr>
        <w:spacing w:after="80"/>
        <w:ind w:left="360"/>
      </w:pPr>
      <w:r>
        <w:t xml:space="preserve">4. Gender-disaggregated monitoring: We track registration and engagement rates by gender. If we see gaps, we adjust outreach strategies.</w:t>
      </w:r>
    </w:p>
    <w:p>
      <w:pPr>
        <w:spacing w:after="80"/>
        <w:ind w:left="360"/>
      </w:pPr>
      <w:r>
        <w:t xml:space="preserve">5. Farmer Advisory Committee: Our 10-member advisory group explicitly includes women farmers who guide how we design messages and interventions.</w:t>
      </w:r>
    </w:p>
    <w:p>
      <w:pPr>
        <w:shd w:fill="E8F5E9" w:val="clear"/>
        <w:spacing w:after="200" w:before="150"/>
      </w:pPr>
      <w:r>
        <w:rPr>
          <w:b/>
          <w:bCs/>
          <w:color w:val="2D6A4F"/>
        </w:rPr>
        <w:t xml:space="preserve">💡 Key Message: </w:t>
      </w:r>
      <w:r>
        <w:rPr>
          <w:i/>
          <w:iCs/>
          <w:color w:val="2D6A4F"/>
        </w:rPr>
        <w:t xml:space="preserve">Women's higher vulnerability requires intentional design. We partner with women's groups and track gender equity metrics throughout.</w:t>
      </w:r>
    </w:p>
    <w:p>
      <w:r>
        <w:br w:type="page"/>
      </w:r>
    </w:p>
    <w:p>
      <w:pPr>
        <w:pStyle w:val="Heading1"/>
      </w:pPr>
      <w:r>
        <w:t xml:space="preserve">SECTION 3: TEAM &amp; EXECUTION QUESTIONS</w:t>
      </w:r>
    </w:p>
    <w:p>
      <w:pPr>
        <w:spacing w:after="150" w:before="300"/>
      </w:pPr>
      <w:r>
        <w:rPr>
          <w:b/>
          <w:bCs/>
          <w:color w:val="B85042"/>
        </w:rPr>
        <w:t xml:space="preserve">Q: Can you execute this as a solo founder?</w:t>
      </w:r>
    </w:p>
    <w:p>
      <w:pPr>
        <w:spacing w:after="100"/>
      </w:pPr>
      <w:r>
        <w:rPr>
          <w:b/>
          <w:bCs/>
          <w:i/>
          <w:iCs/>
          <w:color w:val="2E5A8C"/>
        </w:rPr>
        <w:t xml:space="preserve">Talking Points:</w:t>
      </w:r>
    </w:p>
    <w:p>
      <w:pPr>
        <w:spacing w:after="80"/>
        <w:ind w:left="360"/>
      </w:pPr>
      <w:r>
        <w:t xml:space="preserve">1. I want to address this directly: Yes, the MVP was built solo, which actually demonstrates execution capability. But the 12-month plan doesn't rely on me doing everything alone.</w:t>
      </w:r>
    </w:p>
    <w:p>
      <w:pPr>
        <w:spacing w:after="80"/>
        <w:ind w:left="360"/>
      </w:pPr>
      <w:r>
        <w:t xml:space="preserve">2. What I do: Technical development, ML model training, system architecture, strategic partnerships, fundraising. These are my core competencies from 10+ years of research work.</w:t>
      </w:r>
    </w:p>
    <w:p>
      <w:pPr>
        <w:spacing w:after="80"/>
        <w:ind w:left="360"/>
      </w:pPr>
      <w:r>
        <w:t xml:space="preserve">3. What the budget funds: The $47K personnel budget includes hiring a part-time developer for Android app and support from existing extension workers who are paid per activity.</w:t>
      </w:r>
    </w:p>
    <w:p>
      <w:pPr>
        <w:spacing w:after="80"/>
        <w:ind w:left="360"/>
      </w:pPr>
      <w:r>
        <w:t xml:space="preserve">4. Partner contributions: UNFFE provides cooperative access and mobilization. Extension workers (MAAIF network) do farmer training. Makerere provides research support. I orchestrate, I don't do it all.</w:t>
      </w:r>
    </w:p>
    <w:p>
      <w:pPr>
        <w:spacing w:after="80"/>
        <w:ind w:left="360"/>
      </w:pPr>
      <w:r>
        <w:t xml:space="preserve">5. Scaling approach: We're building a system that scales through automation (SMS alerts) and existing human infrastructure (extension workers), not through me personally reaching farmers.</w:t>
      </w:r>
    </w:p>
    <w:p>
      <w:pPr>
        <w:shd w:fill="E8F5E9" w:val="clear"/>
        <w:spacing w:after="200" w:before="150"/>
      </w:pPr>
      <w:r>
        <w:rPr>
          <w:b/>
          <w:bCs/>
          <w:color w:val="2D6A4F"/>
        </w:rPr>
        <w:t xml:space="preserve">💡 Key Message: </w:t>
      </w:r>
      <w:r>
        <w:rPr>
          <w:i/>
          <w:iCs/>
          <w:color w:val="2D6A4F"/>
        </w:rPr>
        <w:t xml:space="preserve">Solo founder ≠ solo execution. I built the MVP; the grant funds a team and leverages partner infrastructure for field deployment.</w:t>
      </w:r>
    </w:p>
    <w:p>
      <w:pPr>
        <w:spacing w:after="150" w:before="300"/>
      </w:pPr>
      <w:r>
        <w:rPr>
          <w:b/>
          <w:bCs/>
          <w:color w:val="B85042"/>
        </w:rPr>
        <w:t xml:space="preserve">Q: What's your background? Why are you qualified to lead this?</w:t>
      </w:r>
    </w:p>
    <w:p>
      <w:pPr>
        <w:spacing w:after="100"/>
      </w:pPr>
      <w:r>
        <w:rPr>
          <w:b/>
          <w:bCs/>
          <w:i/>
          <w:iCs/>
          <w:color w:val="2E5A8C"/>
        </w:rPr>
        <w:t xml:space="preserve">Talking Points:</w:t>
      </w:r>
    </w:p>
    <w:p>
      <w:pPr>
        <w:spacing w:after="80"/>
        <w:ind w:left="360"/>
      </w:pPr>
      <w:r>
        <w:t xml:space="preserve">1. 10+ years as biostatistician at Uganda Virus Research Institute (UVRI). This means I understand health research, epidemiology, and working within Uganda's health system.</w:t>
      </w:r>
    </w:p>
    <w:p>
      <w:pPr>
        <w:spacing w:after="80"/>
        <w:ind w:left="360"/>
      </w:pPr>
      <w:r>
        <w:t xml:space="preserve">2. MSc Statistics from Linköping University (Sweden). Rigorous training in statistical modeling, uncertainty quantification, and data analysis.</w:t>
      </w:r>
    </w:p>
    <w:p>
      <w:pPr>
        <w:spacing w:after="80"/>
        <w:ind w:left="360"/>
      </w:pPr>
      <w:r>
        <w:t xml:space="preserve">3. Current PhD in Machine Learning/Computer Vision. This is why I can build ML systems, not just talk about them.</w:t>
      </w:r>
    </w:p>
    <w:p>
      <w:pPr>
        <w:spacing w:after="80"/>
        <w:ind w:left="360"/>
      </w:pPr>
      <w:r>
        <w:t xml:space="preserve">4. Technical stack experience: R, Python, Rust, TypeScript. I built the entire HeatShield MVP myself—proof of technical capability.</w:t>
      </w:r>
    </w:p>
    <w:p>
      <w:pPr>
        <w:spacing w:after="80"/>
        <w:ind w:left="360"/>
      </w:pPr>
      <w:r>
        <w:t xml:space="preserve">5. Domain expertise intersection: I understand health systems (from UVRI), statistical methods (from training), ML implementation (from PhD), and Uganda's context (from living and working here). This combination is rare.</w:t>
      </w:r>
    </w:p>
    <w:p>
      <w:pPr>
        <w:shd w:fill="E8F5E9" w:val="clear"/>
        <w:spacing w:after="200" w:before="150"/>
      </w:pPr>
      <w:r>
        <w:rPr>
          <w:b/>
          <w:bCs/>
          <w:color w:val="2D6A4F"/>
        </w:rPr>
        <w:t xml:space="preserve">💡 Key Message: </w:t>
      </w:r>
      <w:r>
        <w:rPr>
          <w:i/>
          <w:iCs/>
          <w:color w:val="2D6A4F"/>
        </w:rPr>
        <w:t xml:space="preserve">I combine statistical rigor, ML capability, health research experience, and deep Uganda context. The working MVP demonstrates I can execute, not just plan.</w:t>
      </w:r>
    </w:p>
    <w:p>
      <w:pPr>
        <w:spacing w:after="150" w:before="300"/>
      </w:pPr>
      <w:r>
        <w:rPr>
          <w:b/>
          <w:bCs/>
          <w:color w:val="B85042"/>
        </w:rPr>
        <w:t xml:space="preserve">Q: What's the status of your partnerships? Are they confirmed?</w:t>
      </w:r>
    </w:p>
    <w:p>
      <w:pPr>
        <w:spacing w:after="100"/>
      </w:pPr>
      <w:r>
        <w:rPr>
          <w:b/>
          <w:bCs/>
          <w:i/>
          <w:iCs/>
          <w:color w:val="2E5A8C"/>
        </w:rPr>
        <w:t xml:space="preserve">Talking Points:</w:t>
      </w:r>
    </w:p>
    <w:p>
      <w:pPr>
        <w:spacing w:after="80"/>
        <w:ind w:left="360"/>
      </w:pPr>
      <w:r>
        <w:t xml:space="preserve">1. I want to be transparent: These are planned partnerships with preliminary conversations, not signed MOUs. This is typical at pre-funding stage.</w:t>
      </w:r>
    </w:p>
    <w:p>
      <w:pPr>
        <w:spacing w:after="80"/>
        <w:ind w:left="360"/>
      </w:pPr>
      <w:r>
        <w:t xml:space="preserve">2. UNFFE: Initial discussions about cooperative access for pilot districts. They're interested but waiting to see funding confirmation before formal commitment.</w:t>
      </w:r>
    </w:p>
    <w:p>
      <w:pPr>
        <w:spacing w:after="80"/>
        <w:ind w:left="360"/>
      </w:pPr>
      <w:r>
        <w:t xml:space="preserve">3. MAAIF: Exploratory conversations about extension worker involvement. Government agencies rarely commit before projects are funded.</w:t>
      </w:r>
    </w:p>
    <w:p>
      <w:pPr>
        <w:spacing w:after="80"/>
        <w:ind w:left="360"/>
      </w:pPr>
      <w:r>
        <w:t xml:space="preserve">4. Makerere University School of Public Health: Research collaboration discussions. They have interest in climate-health research but need to see project scope.</w:t>
      </w:r>
    </w:p>
    <w:p>
      <w:pPr>
        <w:spacing w:after="80"/>
        <w:ind w:left="360"/>
      </w:pPr>
      <w:r>
        <w:t xml:space="preserve">5. Africa's Talking: This is purely commercial—they provide SMS/USSD infrastructure on a pay-per-use basis. No partnership needed, just technical integration (already working in MVP).</w:t>
      </w:r>
    </w:p>
    <w:p>
      <w:pPr>
        <w:spacing w:after="80"/>
        <w:ind w:left="360"/>
      </w:pPr>
      <w:r>
        <w:t xml:space="preserve">6. Months 1-3 of the project explicitly include partnership formalization as a key deliverable.</w:t>
      </w:r>
    </w:p>
    <w:p>
      <w:pPr>
        <w:shd w:fill="E8F5E9" w:val="clear"/>
        <w:spacing w:after="200" w:before="150"/>
      </w:pPr>
      <w:r>
        <w:rPr>
          <w:b/>
          <w:bCs/>
          <w:color w:val="2D6A4F"/>
        </w:rPr>
        <w:t xml:space="preserve">💡 Key Message: </w:t>
      </w:r>
      <w:r>
        <w:rPr>
          <w:i/>
          <w:iCs/>
          <w:color w:val="2D6A4F"/>
        </w:rPr>
        <w:t xml:space="preserve">Partnerships are in discussion, awaiting funding to formalize. This is normal pre-award stage. The relationships are real; the paperwork comes after the grant.</w:t>
      </w:r>
    </w:p>
    <w:p>
      <w:r>
        <w:br w:type="page"/>
      </w:r>
    </w:p>
    <w:p>
      <w:pPr>
        <w:pStyle w:val="Heading1"/>
      </w:pPr>
      <w:r>
        <w:t xml:space="preserve">SECTION 4: SUSTAINABILITY &amp; SCALE QUESTIONS</w:t>
      </w:r>
    </w:p>
    <w:p>
      <w:pPr>
        <w:spacing w:after="150" w:before="300"/>
      </w:pPr>
      <w:r>
        <w:rPr>
          <w:b/>
          <w:bCs/>
          <w:color w:val="B85042"/>
        </w:rPr>
        <w:t xml:space="preserve">Q: What's your revenue model? How do you sustain this after the grant?</w:t>
      </w:r>
    </w:p>
    <w:p>
      <w:pPr>
        <w:spacing w:after="100"/>
      </w:pPr>
      <w:r>
        <w:rPr>
          <w:b/>
          <w:bCs/>
          <w:i/>
          <w:iCs/>
          <w:color w:val="2E5A8C"/>
        </w:rPr>
        <w:t xml:space="preserve">Talking Points:</w:t>
      </w:r>
    </w:p>
    <w:p>
      <w:pPr>
        <w:spacing w:after="80"/>
        <w:ind w:left="360"/>
      </w:pPr>
      <w:r>
        <w:t xml:space="preserve">1. Basic alerts to individual farmers remain FREE forever. This is a public good, and we subsidize it through other revenue streams.</w:t>
      </w:r>
    </w:p>
    <w:p>
      <w:pPr>
        <w:spacing w:after="80"/>
        <w:ind w:left="360"/>
      </w:pPr>
      <w:r>
        <w:t xml:space="preserve">2. B2B dashboards ($50-200/month): Agricultural cooperatives, export companies (EU supply chain compliance), and large farms want dashboards showing worker heat exposure. They'll pay for documentation and management tools.</w:t>
      </w:r>
    </w:p>
    <w:p>
      <w:pPr>
        <w:spacing w:after="80"/>
        <w:ind w:left="360"/>
      </w:pPr>
      <w:r>
        <w:t xml:space="preserve">3. Institutional partnerships: Ministry of Agriculture may integrate heat alerts into official extension services. Development partners (World Bank projects, USAID programs) often pay for tools their programs use.</w:t>
      </w:r>
    </w:p>
    <w:p>
      <w:pPr>
        <w:spacing w:after="80"/>
        <w:ind w:left="360"/>
      </w:pPr>
      <w:r>
        <w:t xml:space="preserve">4. Climate adaptation funding: Green Climate Fund, Adaptation Fund, and bilateral climate finance programs fund exactly this kind of climate resilience infrastructure. We'll pursue these grants.</w:t>
      </w:r>
    </w:p>
    <w:p>
      <w:pPr>
        <w:spacing w:after="80"/>
        <w:ind w:left="360"/>
      </w:pPr>
      <w:r>
        <w:t xml:space="preserve">5. Cost efficiency advantage: Our core cost is $0.30/farmer/year for SMS. Even modest institutional support or B2B revenue covers massive farmer reach.</w:t>
      </w:r>
    </w:p>
    <w:p>
      <w:pPr>
        <w:shd w:fill="E8F5E9" w:val="clear"/>
        <w:spacing w:after="200" w:before="150"/>
      </w:pPr>
      <w:r>
        <w:rPr>
          <w:b/>
          <w:bCs/>
          <w:color w:val="2D6A4F"/>
        </w:rPr>
        <w:t xml:space="preserve">💡 Key Message: </w:t>
      </w:r>
      <w:r>
        <w:rPr>
          <w:i/>
          <w:iCs/>
          <w:color w:val="2D6A4F"/>
        </w:rPr>
        <w:t xml:space="preserve">Freemium model: free alerts for farmers, paid dashboards for institutions. Low costs mean even small revenue streams enable sustainability.</w:t>
      </w:r>
    </w:p>
    <w:p>
      <w:pPr>
        <w:spacing w:after="150" w:before="300"/>
      </w:pPr>
      <w:r>
        <w:rPr>
          <w:b/>
          <w:bCs/>
          <w:color w:val="B85042"/>
        </w:rPr>
        <w:t xml:space="preserve">Q: How does this scale beyond Uganda?</w:t>
      </w:r>
    </w:p>
    <w:p>
      <w:pPr>
        <w:spacing w:after="100"/>
      </w:pPr>
      <w:r>
        <w:rPr>
          <w:b/>
          <w:bCs/>
          <w:i/>
          <w:iCs/>
          <w:color w:val="2E5A8C"/>
        </w:rPr>
        <w:t xml:space="preserve">Talking Points:</w:t>
      </w:r>
    </w:p>
    <w:p>
      <w:pPr>
        <w:spacing w:after="80"/>
        <w:ind w:left="360"/>
      </w:pPr>
      <w:r>
        <w:t xml:space="preserve">1. The architecture is designed for replication from day one. We're not building Uganda-specific systems that would require rebuilding for each country.</w:t>
      </w:r>
    </w:p>
    <w:p>
      <w:pPr>
        <w:spacing w:after="80"/>
        <w:ind w:left="360"/>
      </w:pPr>
      <w:r>
        <w:t xml:space="preserve">2. Technical scalability: Weather data sources (Open-Meteo, ICPAC) cover all of East Africa. WBGT calculations are universal physics. SMS/USSD work everywhere. Only configuration changes needed for new regions.</w:t>
      </w:r>
    </w:p>
    <w:p>
      <w:pPr>
        <w:spacing w:after="80"/>
        <w:ind w:left="360"/>
      </w:pPr>
      <w:r>
        <w:t xml:space="preserve">3. Regional scope: East Africa has 100+ million agricultural workers facing similar heat challenges. Kenya, Tanzania, Rwanda, Ethiopia—same climate patterns, same phone infrastructure, same need.</w:t>
      </w:r>
    </w:p>
    <w:p>
      <w:pPr>
        <w:spacing w:after="80"/>
        <w:ind w:left="360"/>
      </w:pPr>
      <w:r>
        <w:t xml:space="preserve">4. Open source strategy: Core algorithms and integration templates on GitHub (MIT license). Other organizations can deploy in their contexts. We provide the toolkit, not gatekeep the technology.</w:t>
      </w:r>
    </w:p>
    <w:p>
      <w:pPr>
        <w:spacing w:after="80"/>
        <w:ind w:left="360"/>
      </w:pPr>
      <w:r>
        <w:t xml:space="preserve">5. Pan-African expansion path: Success in Uganda → ICPAC partnership for regional coverage → implementation partners in neighboring countries. We don't have to do it all ourselves.</w:t>
      </w:r>
    </w:p>
    <w:p>
      <w:pPr>
        <w:shd w:fill="E8F5E9" w:val="clear"/>
        <w:spacing w:after="200" w:before="150"/>
      </w:pPr>
      <w:r>
        <w:rPr>
          <w:b/>
          <w:bCs/>
          <w:color w:val="2D6A4F"/>
        </w:rPr>
        <w:t xml:space="preserve">💡 Key Message: </w:t>
      </w:r>
      <w:r>
        <w:rPr>
          <w:i/>
          <w:iCs/>
          <w:color w:val="2D6A4F"/>
        </w:rPr>
        <w:t xml:space="preserve">Uganda is proof of concept for a regional solution. Open source + ICPAC partnership enables scale across 100M+ East African agricultural workers.</w:t>
      </w:r>
    </w:p>
    <w:p>
      <w:pPr>
        <w:spacing w:after="150" w:before="300"/>
      </w:pPr>
      <w:r>
        <w:rPr>
          <w:b/>
          <w:bCs/>
          <w:color w:val="B85042"/>
        </w:rPr>
        <w:t xml:space="preserve">Q: What if farmers don't change their behavior despite receiving alerts?</w:t>
      </w:r>
    </w:p>
    <w:p>
      <w:pPr>
        <w:spacing w:after="100"/>
      </w:pPr>
      <w:r>
        <w:rPr>
          <w:b/>
          <w:bCs/>
          <w:i/>
          <w:iCs/>
          <w:color w:val="2E5A8C"/>
        </w:rPr>
        <w:t xml:space="preserve">Talking Points:</w:t>
      </w:r>
    </w:p>
    <w:p>
      <w:pPr>
        <w:spacing w:after="80"/>
        <w:ind w:left="360"/>
      </w:pPr>
      <w:r>
        <w:t xml:space="preserve">1. This is a real risk, and we don't assume behavior change happens automatically. Our approach addresses it directly.</w:t>
      </w:r>
    </w:p>
    <w:p>
      <w:pPr>
        <w:spacing w:after="80"/>
        <w:ind w:left="360"/>
      </w:pPr>
      <w:r>
        <w:t xml:space="preserve">2. Economic framing: Work schedule optimization shows farmers how to maintain productivity while avoiding dangerous hours. We're not saying 'don't work'—we're saying 'work smarter.'</w:t>
      </w:r>
    </w:p>
    <w:p>
      <w:pPr>
        <w:spacing w:after="80"/>
        <w:ind w:left="360"/>
      </w:pPr>
      <w:r>
        <w:t xml:space="preserve">3. Trusted messengers: Information comes through extension workers and cooperative leaders, not an unknown app. Trust is pre-established.</w:t>
      </w:r>
    </w:p>
    <w:p>
      <w:pPr>
        <w:spacing w:after="80"/>
        <w:ind w:left="360"/>
      </w:pPr>
      <w:r>
        <w:t xml:space="preserve">4. Social proof: As early adopters report benefits (less fatigue, fewer symptoms), word-of-mouth builds adoption. Farmer-to-farmer influence is powerful.</w:t>
      </w:r>
    </w:p>
    <w:p>
      <w:pPr>
        <w:spacing w:after="80"/>
        <w:ind w:left="360"/>
      </w:pPr>
      <w:r>
        <w:t xml:space="preserve">5. Iterative messaging: If initial messages don't drive behavior change, we adjust. Maybe text isn't working—we add voice. Maybe daily alerts cause fatigue—we adjust frequency. The pilot is for learning, not just deploying.</w:t>
      </w:r>
    </w:p>
    <w:p>
      <w:pPr>
        <w:spacing w:after="80"/>
        <w:ind w:left="360"/>
      </w:pPr>
      <w:r>
        <w:t xml:space="preserve">6. Research evidence: Similar interventions (SMS agricultural advisories) show 11.5% yield increases in Kenya. Behavior change through mobile messaging is proven; we adapt it for heat.</w:t>
      </w:r>
    </w:p>
    <w:p>
      <w:pPr>
        <w:shd w:fill="E8F5E9" w:val="clear"/>
        <w:spacing w:after="200" w:before="150"/>
      </w:pPr>
      <w:r>
        <w:rPr>
          <w:b/>
          <w:bCs/>
          <w:color w:val="2D6A4F"/>
        </w:rPr>
        <w:t xml:space="preserve">💡 Key Message: </w:t>
      </w:r>
      <w:r>
        <w:rPr>
          <w:i/>
          <w:iCs/>
          <w:color w:val="2D6A4F"/>
        </w:rPr>
        <w:t xml:space="preserve">We design for behavior change: economic framing, trusted messengers, iterative improvement. The pilot will test and refine our approach.</w:t>
      </w:r>
    </w:p>
    <w:p>
      <w:r>
        <w:br w:type="page"/>
      </w:r>
    </w:p>
    <w:p>
      <w:pPr>
        <w:pStyle w:val="Heading1"/>
      </w:pPr>
      <w:r>
        <w:t xml:space="preserve">SECTION 5: RESPONSIBLE AI QUESTIONS</w:t>
      </w:r>
    </w:p>
    <w:p>
      <w:pPr>
        <w:spacing w:after="150" w:before="300"/>
      </w:pPr>
      <w:r>
        <w:rPr>
          <w:b/>
          <w:bCs/>
          <w:color w:val="B85042"/>
        </w:rPr>
        <w:t xml:space="preserve">Q: How do you handle data privacy for farmers?</w:t>
      </w:r>
    </w:p>
    <w:p>
      <w:pPr>
        <w:spacing w:after="100"/>
      </w:pPr>
      <w:r>
        <w:rPr>
          <w:b/>
          <w:bCs/>
          <w:i/>
          <w:iCs/>
          <w:color w:val="2E5A8C"/>
        </w:rPr>
        <w:t xml:space="preserve">Talking Points:</w:t>
      </w:r>
    </w:p>
    <w:p>
      <w:pPr>
        <w:spacing w:after="80"/>
        <w:ind w:left="360"/>
      </w:pPr>
      <w:r>
        <w:t xml:space="preserve">1. Data minimization is our core principle. We collect only: phone number (for SMS delivery) and district (for localized forecasts). That's it.</w:t>
      </w:r>
    </w:p>
    <w:p>
      <w:pPr>
        <w:spacing w:after="80"/>
        <w:ind w:left="360"/>
      </w:pPr>
      <w:r>
        <w:t xml:space="preserve">2. No health data: We don't collect personal health information. Symptom surveys are anonymized research data, not linked to individual phone numbers.</w:t>
      </w:r>
    </w:p>
    <w:p>
      <w:pPr>
        <w:spacing w:after="80"/>
        <w:ind w:left="360"/>
      </w:pPr>
      <w:r>
        <w:t xml:space="preserve">3. Encryption: Phone numbers are hashed for storage and only decrypted for SMS sending. TLS encryption for all data transmission.</w:t>
      </w:r>
    </w:p>
    <w:p>
      <w:pPr>
        <w:spacing w:after="80"/>
        <w:ind w:left="360"/>
      </w:pPr>
      <w:r>
        <w:t xml:space="preserve">4. Consent: Users actively opt-in by registering. Clear explanation in local languages of what we collect and why. Easy opt-out via SMS.</w:t>
      </w:r>
    </w:p>
    <w:p>
      <w:pPr>
        <w:spacing w:after="80"/>
        <w:ind w:left="360"/>
      </w:pPr>
      <w:r>
        <w:t xml:space="preserve">5. No data sales: User information is never sold or shared with third parties. Period. This isn't a data harvesting operation.</w:t>
      </w:r>
    </w:p>
    <w:p>
      <w:pPr>
        <w:spacing w:after="80"/>
        <w:ind w:left="360"/>
      </w:pPr>
      <w:r>
        <w:t xml:space="preserve">6. Local governance: We'll establish a data governance committee including farmer representatives to oversee data practices.</w:t>
      </w:r>
    </w:p>
    <w:p>
      <w:pPr>
        <w:shd w:fill="E8F5E9" w:val="clear"/>
        <w:spacing w:after="200" w:before="150"/>
      </w:pPr>
      <w:r>
        <w:rPr>
          <w:b/>
          <w:bCs/>
          <w:color w:val="2D6A4F"/>
        </w:rPr>
        <w:t xml:space="preserve">💡 Key Message: </w:t>
      </w:r>
      <w:r>
        <w:rPr>
          <w:i/>
          <w:iCs/>
          <w:color w:val="2D6A4F"/>
        </w:rPr>
        <w:t xml:space="preserve">We collect minimal data, encrypt it, get clear consent, and never sell it. Farmers' privacy is protected by design.</w:t>
      </w:r>
    </w:p>
    <w:p>
      <w:pPr>
        <w:spacing w:after="150" w:before="300"/>
      </w:pPr>
      <w:r>
        <w:rPr>
          <w:b/>
          <w:bCs/>
          <w:color w:val="B85042"/>
        </w:rPr>
        <w:t xml:space="preserve">Q: What about AI bias? Could your system disadvantage certain farmers?</w:t>
      </w:r>
    </w:p>
    <w:p>
      <w:pPr>
        <w:spacing w:after="100"/>
      </w:pPr>
      <w:r>
        <w:rPr>
          <w:b/>
          <w:bCs/>
          <w:i/>
          <w:iCs/>
          <w:color w:val="2E5A8C"/>
        </w:rPr>
        <w:t xml:space="preserve">Talking Points:</w:t>
      </w:r>
    </w:p>
    <w:p>
      <w:pPr>
        <w:spacing w:after="80"/>
        <w:ind w:left="360"/>
      </w:pPr>
      <w:r>
        <w:t xml:space="preserve">1. Weather model bias: Global weather models may be less accurate in data-sparse African regions. We mitigate by using ICPAC regional forecasts calibrated for East Africa and validating against local observations.</w:t>
      </w:r>
    </w:p>
    <w:p>
      <w:pPr>
        <w:spacing w:after="80"/>
        <w:ind w:left="360"/>
      </w:pPr>
      <w:r>
        <w:t xml:space="preserve">2. Geographic coverage bias: We ensure predictions cover all pilot districts equally, including remote sub-counties. We don't just serve easy-to-reach areas.</w:t>
      </w:r>
    </w:p>
    <w:p>
      <w:pPr>
        <w:spacing w:after="80"/>
        <w:ind w:left="360"/>
      </w:pPr>
      <w:r>
        <w:t xml:space="preserve">3. Access bias: If only tech-savvy, phone-owning farmers benefit, we'd widen inequalities. That's why USSD/SMS channels (works on any phone) and cooperative-level information sharing are core to our design.</w:t>
      </w:r>
    </w:p>
    <w:p>
      <w:pPr>
        <w:spacing w:after="80"/>
        <w:ind w:left="360"/>
      </w:pPr>
      <w:r>
        <w:t xml:space="preserve">4. Gender bias: We track registration and engagement by gender. If women are underrepresented, we adjust outreach strategies to ensure equitable access.</w:t>
      </w:r>
    </w:p>
    <w:p>
      <w:pPr>
        <w:spacing w:after="80"/>
        <w:ind w:left="360"/>
      </w:pPr>
      <w:r>
        <w:t xml:space="preserve">5. Continuous monitoring: Bias testing is ongoing, not one-time. We'll analyze whether prediction accuracy varies by district and adjust accordingly.</w:t>
      </w:r>
    </w:p>
    <w:p>
      <w:pPr>
        <w:shd w:fill="E8F5E9" w:val="clear"/>
        <w:spacing w:after="200" w:before="150"/>
      </w:pPr>
      <w:r>
        <w:rPr>
          <w:b/>
          <w:bCs/>
          <w:color w:val="2D6A4F"/>
        </w:rPr>
        <w:t xml:space="preserve">💡 Key Message: </w:t>
      </w:r>
      <w:r>
        <w:rPr>
          <w:i/>
          <w:iCs/>
          <w:color w:val="2D6A4F"/>
        </w:rPr>
        <w:t xml:space="preserve">We proactively address geographic, access, and gender bias through inclusive design and continuous monitoring. Equity is a design requirement.</w:t>
      </w:r>
    </w:p>
    <w:p>
      <w:pPr>
        <w:spacing w:after="150" w:before="300"/>
      </w:pPr>
      <w:r>
        <w:rPr>
          <w:b/>
          <w:bCs/>
          <w:color w:val="B85042"/>
        </w:rPr>
        <w:t xml:space="preserve">Q: What's the environmental impact of your AI system?</w:t>
      </w:r>
    </w:p>
    <w:p>
      <w:pPr>
        <w:spacing w:after="100"/>
      </w:pPr>
      <w:r>
        <w:rPr>
          <w:b/>
          <w:bCs/>
          <w:i/>
          <w:iCs/>
          <w:color w:val="2E5A8C"/>
        </w:rPr>
        <w:t xml:space="preserve">Talking Points:</w:t>
      </w:r>
    </w:p>
    <w:p>
      <w:pPr>
        <w:spacing w:after="80"/>
        <w:ind w:left="360"/>
      </w:pPr>
      <w:r>
        <w:t>1. Lightweight by design: We use Random Forest ensemble models and spatial interpolation, not large language models or GPU-intensive deep learning. Our 3 ONNX models total only ~6 MB. Standard cloud infrastructure, minimal energy footprint.</w:t>
      </w:r>
    </w:p>
    <w:p>
      <w:pPr>
        <w:spacing w:after="80"/>
        <w:ind w:left="360"/>
      </w:pPr>
      <w:r>
        <w:t xml:space="preserve">2. Efficient architecture: Pre-calculated forecasts are cached and served to users. We don't run inference on-demand for each request—that would be computationally wasteful.</w:t>
      </w:r>
    </w:p>
    <w:p>
      <w:pPr>
        <w:spacing w:after="80"/>
        <w:ind w:left="360"/>
      </w:pPr>
      <w:r>
        <w:t xml:space="preserve">3. Proportionate impact: The environmental cost of our AI system is negligible compared to the climate adaptation benefits delivered. We're helping millions adapt to climate change; our compute costs are a rounding error.</w:t>
      </w:r>
    </w:p>
    <w:p>
      <w:pPr>
        <w:spacing w:after="80"/>
        <w:ind w:left="360"/>
      </w:pPr>
      <w:r>
        <w:t xml:space="preserve">4. Cloud providers: Vercel and AWS (our infrastructure) have committed to renewable energy. AWS Africa region uses increasingly renewable power.</w:t>
      </w:r>
    </w:p>
    <w:p>
      <w:pPr>
        <w:spacing w:after="80"/>
        <w:ind w:left="360"/>
      </w:pPr>
      <w:r>
        <w:t xml:space="preserve">5. Future commitment: We'll measure and report our carbon footprint annually. As we scale, we'll explore edge computing to reduce data center dependency.</w:t>
      </w:r>
    </w:p>
    <w:p>
      <w:pPr>
        <w:shd w:fill="E8F5E9" w:val="clear"/>
        <w:spacing w:after="200" w:before="150"/>
      </w:pPr>
      <w:r>
        <w:rPr>
          <w:b/>
          <w:bCs/>
          <w:color w:val="2D6A4F"/>
        </w:rPr>
        <w:t xml:space="preserve">💡 Key Message: </w:t>
      </w:r>
      <w:r>
        <w:rPr>
          <w:i/>
          <w:iCs/>
          <w:color w:val="2D6A4F"/>
        </w:rPr>
        <w:t xml:space="preserve">Our AI is lightweight and efficient. The adaptation benefits far outweigh minimal compute costs. We'll track and report our footprint.</w:t>
      </w:r>
    </w:p>
    <w:p>
      <w:r>
        <w:br w:type="page"/>
      </w:r>
    </w:p>
    <w:p>
      <w:pPr>
        <w:pStyle w:val="Heading1"/>
      </w:pPr>
      <w:r>
        <w:t xml:space="preserve">SECTION 6: POTENTIAL CURVEBALL QUESTIONS</w:t>
      </w:r>
    </w:p>
    <w:p>
      <w:pPr>
        <w:spacing w:after="150" w:before="300"/>
      </w:pPr>
      <w:r>
        <w:rPr>
          <w:b/>
          <w:bCs/>
          <w:color w:val="B85042"/>
        </w:rPr>
        <w:t xml:space="preserve">Q: Why hasn't anyone else built this already?</w:t>
      </w:r>
    </w:p>
    <w:p>
      <w:pPr>
        <w:spacing w:after="100"/>
      </w:pPr>
      <w:r>
        <w:rPr>
          <w:b/>
          <w:bCs/>
          <w:i/>
          <w:iCs/>
          <w:color w:val="2E5A8C"/>
        </w:rPr>
        <w:t xml:space="preserve">Talking Points:</w:t>
      </w:r>
    </w:p>
    <w:p>
      <w:pPr>
        <w:spacing w:after="80"/>
        <w:ind w:left="360"/>
      </w:pPr>
      <w:r>
        <w:t xml:space="preserve">1. Great question. There are a few reasons this gap exists:</w:t>
      </w:r>
    </w:p>
    <w:p>
      <w:pPr>
        <w:spacing w:after="80"/>
        <w:ind w:left="360"/>
      </w:pPr>
      <w:r>
        <w:t xml:space="preserve">2. Climate services focus: Most agricultural climate services focus on rainfall (drought, flood prediction). Heat stress is an occupational health issue that falls between climate and health sectors—nobody's core mandate.</w:t>
      </w:r>
    </w:p>
    <w:p>
      <w:pPr>
        <w:spacing w:after="80"/>
        <w:ind w:left="360"/>
      </w:pPr>
      <w:r>
        <w:t xml:space="preserve">3. Occupational health gap: In high-income countries, employers provide heat protection. In smallholder agriculture, there's no employer—farmers are their own bosses with no institutional protection.</w:t>
      </w:r>
    </w:p>
    <w:p>
      <w:pPr>
        <w:spacing w:after="80"/>
        <w:ind w:left="360"/>
      </w:pPr>
      <w:r>
        <w:t xml:space="preserve">4. Technology assumption: Previous approaches assumed smartphone apps, which excludes most farmers. USSD/SMS delivery for heat warnings is technically straightforward but requires someone to build it.</w:t>
      </w:r>
    </w:p>
    <w:p>
      <w:pPr>
        <w:spacing w:after="80"/>
        <w:ind w:left="360"/>
      </w:pPr>
      <w:r>
        <w:t xml:space="preserve">5. Interdisciplinary challenge: This needs climate science + ML + mobile technology + agricultural extension + health research expertise. That combination is rare. My background uniquely positions me here.</w:t>
      </w:r>
    </w:p>
    <w:p>
      <w:pPr>
        <w:spacing w:after="80"/>
        <w:ind w:left="360"/>
      </w:pPr>
      <w:r>
        <w:t xml:space="preserve">6. Market viability: VCs don't fund public goods for poor farmers. Development funders haven't prioritized occupational heat. Programs like Activate AI are exactly what's needed to fill this gap.</w:t>
      </w:r>
    </w:p>
    <w:p>
      <w:pPr>
        <w:shd w:fill="E8F5E9" w:val="clear"/>
        <w:spacing w:after="200" w:before="150"/>
      </w:pPr>
      <w:r>
        <w:rPr>
          <w:b/>
          <w:bCs/>
          <w:color w:val="2D6A4F"/>
        </w:rPr>
        <w:t xml:space="preserve">💡 Key Message: </w:t>
      </w:r>
      <w:r>
        <w:rPr>
          <w:i/>
          <w:iCs/>
          <w:color w:val="2D6A4F"/>
        </w:rPr>
        <w:t xml:space="preserve">It's a coordination failure across sectors, not a technical impossibility. The technology exists; it just hasn't been applied to this population.</w:t>
      </w:r>
    </w:p>
    <w:p>
      <w:pPr>
        <w:spacing w:after="150" w:before="300"/>
      </w:pPr>
      <w:r>
        <w:rPr>
          <w:b/>
          <w:bCs/>
          <w:color w:val="B85042"/>
        </w:rPr>
        <w:t xml:space="preserve">Q: What if government policy changes and they want to take over your system?</w:t>
      </w:r>
    </w:p>
    <w:p>
      <w:pPr>
        <w:spacing w:after="100"/>
      </w:pPr>
      <w:r>
        <w:rPr>
          <w:b/>
          <w:bCs/>
          <w:i/>
          <w:iCs/>
          <w:color w:val="2E5A8C"/>
        </w:rPr>
        <w:t xml:space="preserve">Talking Points:</w:t>
      </w:r>
    </w:p>
    <w:p>
      <w:pPr>
        <w:spacing w:after="80"/>
        <w:ind w:left="360"/>
      </w:pPr>
      <w:r>
        <w:t xml:space="preserve">1. That would be a success, not a failure! Government adoption means sustainable, institutionalized heat protection for all farmers.</w:t>
      </w:r>
    </w:p>
    <w:p>
      <w:pPr>
        <w:spacing w:after="80"/>
        <w:ind w:left="360"/>
      </w:pPr>
      <w:r>
        <w:t xml:space="preserve">2. Open source design: Our code is openly available. If MAAIF wants to integrate heat alerts into official extension services, they can. We'd help them.</w:t>
      </w:r>
    </w:p>
    <w:p>
      <w:pPr>
        <w:spacing w:after="80"/>
        <w:ind w:left="360"/>
      </w:pPr>
      <w:r>
        <w:t xml:space="preserve">3. Transition path: We could become technical advisors, training government staff to maintain the system. Or we pivot to other countries while Uganda runs its own system.</w:t>
      </w:r>
    </w:p>
    <w:p>
      <w:pPr>
        <w:spacing w:after="80"/>
        <w:ind w:left="360"/>
      </w:pPr>
      <w:r>
        <w:t xml:space="preserve">4. Realistic timeline: Government tech adoption takes years. We'd have plenty of time to demonstrate impact, build our reputation, and expand regionally before any takeover scenario.</w:t>
      </w:r>
    </w:p>
    <w:p>
      <w:pPr>
        <w:spacing w:after="80"/>
        <w:ind w:left="360"/>
      </w:pPr>
      <w:r>
        <w:t xml:space="preserve">5. Mission alignment: Our goal is protecting farmers, not building a company. Government institutionalization achieves our mission at scale.</w:t>
      </w:r>
    </w:p>
    <w:p>
      <w:pPr>
        <w:shd w:fill="E8F5E9" w:val="clear"/>
        <w:spacing w:after="200" w:before="150"/>
      </w:pPr>
      <w:r>
        <w:rPr>
          <w:b/>
          <w:bCs/>
          <w:color w:val="2D6A4F"/>
        </w:rPr>
        <w:t xml:space="preserve">💡 Key Message: </w:t>
      </w:r>
      <w:r>
        <w:rPr>
          <w:i/>
          <w:iCs/>
          <w:color w:val="2D6A4F"/>
        </w:rPr>
        <w:t xml:space="preserve">Government adoption is the best-case scenario for impact. Our open-source approach facilitates rather than prevents this.</w:t>
      </w:r>
    </w:p>
    <w:p>
      <w:pPr>
        <w:spacing w:after="150" w:before="300"/>
      </w:pPr>
      <w:r>
        <w:rPr>
          <w:b/>
          <w:bCs/>
          <w:color w:val="B85042"/>
        </w:rPr>
        <w:t xml:space="preserve">Q: What would you do if you don't win this grant?</w:t>
      </w:r>
    </w:p>
    <w:p>
      <w:pPr>
        <w:spacing w:after="100"/>
      </w:pPr>
      <w:r>
        <w:rPr>
          <w:b/>
          <w:bCs/>
          <w:i/>
          <w:iCs/>
          <w:color w:val="2E5A8C"/>
        </w:rPr>
        <w:t xml:space="preserve">Talking Points:</w:t>
      </w:r>
    </w:p>
    <w:p>
      <w:pPr>
        <w:spacing w:after="80"/>
        <w:ind w:left="360"/>
      </w:pPr>
      <w:r>
        <w:t xml:space="preserve">1. This grant is important but not existential. The MVP is built and running. I'll continue regardless.</w:t>
      </w:r>
    </w:p>
    <w:p>
      <w:pPr>
        <w:spacing w:after="80"/>
        <w:ind w:left="360"/>
      </w:pPr>
      <w:r>
        <w:t xml:space="preserve">2. Alternative funding: I'm pursuing IKI Small Grants (€60-200K, deadline passed but future rounds), ESTDEV (€50-150K), UNICEF Venture Fund ($100K), and others. This isn't my only application.</w:t>
      </w:r>
    </w:p>
    <w:p>
      <w:pPr>
        <w:spacing w:after="80"/>
        <w:ind w:left="360"/>
      </w:pPr>
      <w:r>
        <w:t xml:space="preserve">3. Smaller scale start: Without major funding, I'd run a smaller pilot with personal resources and existing UVRI networks. Slower but still progress.</w:t>
      </w:r>
    </w:p>
    <w:p>
      <w:pPr>
        <w:spacing w:after="80"/>
        <w:ind w:left="360"/>
      </w:pPr>
      <w:r>
        <w:t xml:space="preserve">4. Research angle: I could pursue academic funding through my PhD program or UVRI collaborations. A research-framed pilot might access different funding streams.</w:t>
      </w:r>
    </w:p>
    <w:p>
      <w:pPr>
        <w:spacing w:after="80"/>
        <w:ind w:left="360"/>
      </w:pPr>
      <w:r>
        <w:t xml:space="preserve">5. The core work continues: Weather data is free. Hosting costs are minimal. I can maintain and improve the platform regardless. Grant funding accelerates scale, but doesn't determine existence.</w:t>
      </w:r>
    </w:p>
    <w:p>
      <w:pPr>
        <w:shd w:fill="E8F5E9" w:val="clear"/>
        <w:spacing w:after="200" w:before="150"/>
      </w:pPr>
      <w:r>
        <w:rPr>
          <w:b/>
          <w:bCs/>
          <w:color w:val="2D6A4F"/>
        </w:rPr>
        <w:t xml:space="preserve">💡 Key Message: </w:t>
      </w:r>
      <w:r>
        <w:rPr>
          <w:i/>
          <w:iCs/>
          <w:color w:val="2D6A4F"/>
        </w:rPr>
        <w:t xml:space="preserve">I'm pursuing multiple funding paths. HeatShield Agri continues regardless—this grant accelerates scale but isn't a binary success/failure point.</w:t>
      </w:r>
    </w:p>
    <w:p>
      <w:r>
        <w:br w:type="page"/>
      </w:r>
    </w:p>
    <w:p>
      <w:pPr>
        <w:pStyle w:val="Heading1"/>
      </w:pPr>
      <w:r>
        <w:t xml:space="preserve">FINAL PREPARATION NOTES</w:t>
      </w:r>
    </w:p>
    <w:p>
      <w:pPr>
        <w:spacing w:after="150" w:before="200"/>
      </w:pPr>
      <w:r>
        <w:rPr>
          <w:b/>
          <w:bCs/>
          <w:color w:val="B85042"/>
        </w:rPr>
        <w:t xml:space="preserve">Key Themes to Emphasize Throughout:</w:t>
      </w:r>
    </w:p>
    <w:p>
      <w:pPr>
        <w:spacing w:after="80"/>
        <w:ind w:left="360"/>
      </w:pPr>
      <w:r>
        <w:t xml:space="preserve">1. Working MVP — You've built it, it's live, reviewers can see it. This is rare and valuable.</w:t>
      </w:r>
    </w:p>
    <w:p>
      <w:pPr>
        <w:spacing w:after="80"/>
        <w:ind w:left="360"/>
      </w:pPr>
      <w:r>
        <w:t xml:space="preserve">2. Unserved population — 12.4M agricultural workers with zero existing heat protection. Clear market gap.</w:t>
      </w:r>
    </w:p>
    <w:p>
      <w:pPr>
        <w:spacing w:after="80"/>
        <w:ind w:left="360"/>
      </w:pPr>
      <w:r>
        <w:t xml:space="preserve">3. Proven science — ISO 7243 standard, established ML methods. Innovation is application, not algorithms.</w:t>
      </w:r>
    </w:p>
    <w:p>
      <w:pPr>
        <w:spacing w:after="80"/>
        <w:ind w:left="360"/>
      </w:pPr>
      <w:r>
        <w:t xml:space="preserve">4. Inclusive design — USSD/SMS for feature phones, local languages, gender equity. Tech that meets users where they are.</w:t>
      </w:r>
    </w:p>
    <w:p>
      <w:pPr>
        <w:spacing w:after="300"/>
        <w:ind w:left="360"/>
      </w:pPr>
      <w:r>
        <w:t xml:space="preserve">5. Regional scalability — Uganda is proof of concept for 100M+ East African agricultural workers.</w:t>
      </w:r>
    </w:p>
    <w:p>
      <w:pPr>
        <w:spacing w:after="150"/>
      </w:pPr>
      <w:r>
        <w:rPr>
          <w:b/>
          <w:bCs/>
          <w:color w:val="D32F2F"/>
        </w:rPr>
        <w:t xml:space="preserve">Things to Avoid:</w:t>
      </w:r>
    </w:p>
    <w:p>
      <w:pPr>
        <w:spacing w:after="80"/>
        <w:ind w:left="360"/>
      </w:pPr>
      <w:r>
        <w:t xml:space="preserve">• Don't oversell ML sophistication — be honest about using proven methods appropriately</w:t>
      </w:r>
    </w:p>
    <w:p>
      <w:pPr>
        <w:spacing w:after="80"/>
        <w:ind w:left="360"/>
      </w:pPr>
      <w:r>
        <w:t xml:space="preserve">• Don't claim confirmed partnerships when they're in discussion — transparency builds trust</w:t>
      </w:r>
    </w:p>
    <w:p>
      <w:pPr>
        <w:spacing w:after="80"/>
        <w:ind w:left="360"/>
      </w:pPr>
      <w:r>
        <w:t xml:space="preserve">• Don't be defensive about solo founder status — own it as proof of execution capability</w:t>
      </w:r>
    </w:p>
    <w:p>
      <w:pPr>
        <w:spacing w:after="300"/>
        <w:ind w:left="360"/>
      </w:pPr>
      <w:r>
        <w:t xml:space="preserve">• Don't forget to demo the MVP — always offer to show the live platform</w:t>
      </w:r>
    </w:p>
    <w:p>
      <w:pPr>
        <w:spacing w:after="150"/>
      </w:pPr>
      <w:r>
        <w:rPr>
          <w:b/>
          <w:bCs/>
          <w:color w:val="2D6A4F"/>
        </w:rPr>
        <w:t xml:space="preserve">Pre-Interview Checklist:</w:t>
      </w:r>
    </w:p>
    <w:p>
      <w:pPr>
        <w:spacing w:after="80"/>
        <w:ind w:left="360"/>
      </w:pPr>
      <w:r>
        <w:t xml:space="preserve">☐ Test internet connection and backup (mobile hotspot)</w:t>
      </w:r>
    </w:p>
    <w:p>
      <w:pPr>
        <w:spacing w:after="80"/>
        <w:ind w:left="360"/>
      </w:pPr>
      <w:r>
        <w:t xml:space="preserve">☐ Have heatshieldagri.vercel.app open and ready to share screen</w:t>
      </w:r>
    </w:p>
    <w:p>
      <w:pPr>
        <w:spacing w:after="80"/>
        <w:ind w:left="360"/>
      </w:pPr>
      <w:r>
        <w:t xml:space="preserve">☐ Quiet environment, professional background</w:t>
      </w:r>
    </w:p>
    <w:p>
      <w:pPr>
        <w:spacing w:after="80"/>
        <w:ind w:left="360"/>
      </w:pPr>
      <w:r>
        <w:t xml:space="preserve">☐ Water nearby (long interview!)</w:t>
      </w:r>
    </w:p>
    <w:p>
      <w:pPr>
        <w:spacing w:after="80"/>
        <w:ind w:left="360"/>
      </w:pPr>
      <w:r>
        <w:t xml:space="preserve">☐ This document for reference (but don't read from it)</w:t>
      </w:r>
    </w:p>
    <w:p>
      <w:pPr>
        <w:spacing w:after="200"/>
        <w:ind w:left="360"/>
      </w:pPr>
      <w:r>
        <w:t xml:space="preserve">☐ Join Zoom link 5 minutes early</w:t>
      </w:r>
    </w:p>
    <w:p>
      <w:pPr>
        <w:spacing w:before="300"/>
        <w:jc w:val="center"/>
      </w:pPr>
      <w:r>
        <w:rPr>
          <w:b/>
          <w:bCs/>
          <w:i/>
          <w:iCs/>
          <w:color w:val="2E5A8C"/>
        </w:rPr>
        <w:t xml:space="preserve">Good luck, Raymond! You've done the work. Now show them what you've built.</w:t>
      </w:r>
    </w:p>
    <w:p>
      <w:pPr>
        <w:jc w:val="center"/>
      </w:pPr>
      <w:r>
        <w:rPr>
          <w:i/>
          <w:color w:val="646464"/>
          <w:sz w:val="18"/>
        </w:rPr>
        <w:br/>
        <w:t>Prepared by Wayesu Community Research Organisation Ltd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Interview Date: March 9, 2026, 21:00 EAT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HeatShield Agri | Activate AI Interview Preparation | 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400"/>
    </w:pPr>
    <w:rPr>
      <w:rFonts w:ascii="Georgia" w:cs="Georgia" w:eastAsia="Georgia" w:hAnsi="Georgia"/>
      <w:b/>
      <w:bCs/>
      <w:color w:val="1A1A2E"/>
      <w:sz w:val="32"/>
      <w:szCs w:val="32"/>
    </w:rPr>
  </w:style>
  <w:style w:type="paragraph" w:styleId="Heading2">
    <w:name w:val="Heading 2"/>
    <w:pPr>
      <w:spacing w:after="150" w:before="300"/>
    </w:pPr>
    <w:rPr>
      <w:rFonts w:ascii="Georgia" w:cs="Georgia" w:eastAsia="Georgia" w:hAnsi="Georgia"/>
      <w:b/>
      <w:bCs/>
      <w:color w:val="2E5A8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2026-02-28T18:39:08.261Z</dcterms:created>
  <dcterms:modified xsi:type="dcterms:W3CDTF">2026-02-28T18:39:08.262Z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