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40"/>
          <w:szCs w:val="40"/>
        </w:rPr>
        <w:t xml:space="preserve">TECHNICAL PROPOSAL</w:t>
      </w:r>
    </w:p>
    <w:p>
      <w:pPr>
        <w:spacing w:after="100"/>
        <w:jc w:val="center"/>
      </w:pPr>
      <w:r>
        <w:rPr>
          <w:rFonts w:ascii="Arial" w:cs="Arial" w:eastAsia="Arial" w:hAnsi="Arial"/>
          <w:color w:val="CCCCCC"/>
          <w:sz w:val="20"/>
          <w:szCs w:val="20"/>
        </w:rPr>
        <w:t xml:space="preserve">_______________________________________________</w:t>
      </w:r>
    </w:p>
    <w:p>
      <w:pPr>
        <w:spacing w:after="300"/>
        <w:jc w:val="center"/>
      </w:pPr>
      <w:r>
        <w:rPr>
          <w:rFonts w:ascii="Arial" w:cs="Arial" w:eastAsia="Arial" w:hAnsi="Arial"/>
          <w:color w:val="2E86C1"/>
          <w:sz w:val="28"/>
          <w:szCs w:val="28"/>
        </w:rPr>
        <w:t xml:space="preserve">Consultancy Services: Routine Data Quality Audits (RDQAs)</w:t>
      </w:r>
    </w:p>
    <w:p>
      <w:pPr>
        <w:spacing w:after="100"/>
        <w:jc w:val="center"/>
      </w:pPr>
      <w:r>
        <w:rPr>
          <w:rFonts w:ascii="Arial" w:cs="Arial" w:eastAsia="Arial" w:hAnsi="Arial"/>
          <w:sz w:val="24"/>
          <w:szCs w:val="24"/>
        </w:rPr>
        <w:t xml:space="preserve">Tiko Africa – Uganda Programme</w:t>
      </w:r>
    </w:p>
    <w:p>
      <w:pPr>
        <w:spacing w:after="100"/>
        <w:jc w:val="center"/>
      </w:pPr>
      <w:r>
        <w:rPr>
          <w:rFonts w:ascii="Arial" w:cs="Arial" w:eastAsia="Arial" w:hAnsi="Arial"/>
          <w:sz w:val="22"/>
          <w:szCs w:val="22"/>
        </w:rPr>
        <w:t xml:space="preserve">Kampala and Wakiso Districts</w:t>
      </w:r>
    </w:p>
    <w:p>
      <w:pPr>
        <w:spacing w:after="600"/>
        <w:jc w:val="center"/>
      </w:pPr>
      <w:r>
        <w:rPr>
          <w:rFonts w:ascii="Arial" w:cs="Arial" w:eastAsia="Arial" w:hAnsi="Arial"/>
          <w:sz w:val="22"/>
          <w:szCs w:val="22"/>
        </w:rPr>
        <w:t xml:space="preserve">March – December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Submitted to:</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Tiko Africa (procurement@tiko.org)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Submitted by: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Paul Mubiri &amp; Raymond R. Wayesu</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Date: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13 February 2026</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Contact: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mubirip@gmail.com / raymondrwayesu@gmail.com</w:t>
            </w:r>
          </w:p>
        </w:tc>
      </w:tr>
    </w:tbl>
    <w:p>
      <w:r>
        <w:br/>
      </w:r>
    </w:p>
    <w:p>
      <w:pPr>
        <w:spacing w:before="200"/>
        <w:jc w:val="center"/>
      </w:pPr>
      <w:r>
        <w:rPr>
          <w:rFonts w:ascii="Arial" w:cs="Arial" w:eastAsia="Arial" w:hAnsi="Arial"/>
          <w:i/>
          <w:iCs/>
          <w:color w:val="666666"/>
          <w:sz w:val="20"/>
          <w:szCs w:val="20"/>
        </w:rPr>
        <w:t xml:space="preserve">Subject: “Tiko Routine Data Quality Audits - Uganda 2026”</w:t>
      </w:r>
    </w:p>
    <w:p>
      <w:r>
        <w:br w:type="page"/>
      </w:r>
    </w:p>
    <w:p>
      <w:pPr>
        <w:spacing w:after="300"/>
        <w:jc w:val="left"/>
      </w:pPr>
      <w:r>
        <w:rPr>
          <w:rFonts w:ascii="Arial" w:cs="Arial" w:eastAsia="Arial" w:hAnsi="Arial"/>
          <w:b/>
          <w:bCs/>
          <w:color w:val="1B4F72"/>
          <w:sz w:val="28"/>
          <w:szCs w:val="28"/>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none" w:sz="0"/>
              <w:left w:val="none" w:sz="0"/>
              <w:bottom w:val="none" w:sz="0"/>
              <w:right w:val="none" w:sz="0"/>
            </w:tcBorders>
          </w:tcPr>
          <w:p>
            <w:r>
              <w:rPr>
                <w:rFonts w:ascii="Arial" w:cs="Arial" w:eastAsia="Arial" w:hAnsi="Arial"/>
                <w:sz w:val="22"/>
                <w:szCs w:val="22"/>
              </w:rPr>
              <w:t xml:space="preserve">1.</w:t>
            </w:r>
          </w:p>
        </w:tc>
        <w:tc>
          <w:tcPr>
            <w:tcW w:type="dxa" w:w="7560"/>
            <w:tcBorders>
              <w:top w:val="none" w:sz="0"/>
              <w:left w:val="none" w:sz="0"/>
              <w:bottom w:val="none" w:sz="0"/>
              <w:right w:val="none" w:sz="0"/>
            </w:tcBorders>
          </w:tcPr>
          <w:p>
            <w:r>
              <w:rPr>
                <w:rFonts w:ascii="Arial" w:cs="Arial" w:eastAsia="Arial" w:hAnsi="Arial"/>
                <w:sz w:val="22"/>
                <w:szCs w:val="22"/>
              </w:rPr>
              <w:t xml:space="preserve">Executive Summary</w:t>
            </w:r>
          </w:p>
        </w:tc>
        <w:tc>
          <w:tcPr>
            <w:tcW w:type="dxa" w:w="1000"/>
            <w:tcBorders>
              <w:top w:val="none" w:sz="0"/>
              <w:left w:val="none" w:sz="0"/>
              <w:bottom w:val="none" w:sz="0"/>
              <w:right w:val="none" w:sz="0"/>
            </w:tcBorders>
          </w:tcPr>
          <w:p>
            <w:pPr>
              <w:jc w:val="right"/>
            </w:pPr>
            <w:r>
              <w:rPr>
                <w:rFonts w:ascii="Arial" w:cs="Arial" w:eastAsia="Arial" w:hAnsi="Arial"/>
                <w:sz w:val="22"/>
                <w:szCs w:val="22"/>
              </w:rPr>
              <w:t xml:space="preserve">3</w:t>
            </w:r>
          </w:p>
        </w:tc>
      </w:tr>
      <w:tr>
        <w:tc>
          <w:tcPr>
            <w:tcW w:type="dxa" w:w="800"/>
            <w:tcBorders>
              <w:top w:val="none" w:sz="0"/>
              <w:left w:val="none" w:sz="0"/>
              <w:bottom w:val="none" w:sz="0"/>
              <w:right w:val="none" w:sz="0"/>
            </w:tcBorders>
          </w:tcPr>
          <w:p>
            <w:r>
              <w:rPr>
                <w:rFonts w:ascii="Arial" w:cs="Arial" w:eastAsia="Arial" w:hAnsi="Arial"/>
                <w:sz w:val="22"/>
                <w:szCs w:val="22"/>
              </w:rPr>
              <w:t xml:space="preserve">2.</w:t>
            </w:r>
          </w:p>
        </w:tc>
        <w:tc>
          <w:tcPr>
            <w:tcW w:type="dxa" w:w="7560"/>
            <w:tcBorders>
              <w:top w:val="none" w:sz="0"/>
              <w:left w:val="none" w:sz="0"/>
              <w:bottom w:val="none" w:sz="0"/>
              <w:right w:val="none" w:sz="0"/>
            </w:tcBorders>
          </w:tcPr>
          <w:p>
            <w:r>
              <w:rPr>
                <w:rFonts w:ascii="Arial" w:cs="Arial" w:eastAsia="Arial" w:hAnsi="Arial"/>
                <w:sz w:val="22"/>
                <w:szCs w:val="22"/>
              </w:rPr>
              <w:t xml:space="preserve">Understanding of the Assignment</w:t>
            </w:r>
          </w:p>
        </w:tc>
        <w:tc>
          <w:tcPr>
            <w:tcW w:type="dxa" w:w="1000"/>
            <w:tcBorders>
              <w:top w:val="none" w:sz="0"/>
              <w:left w:val="none" w:sz="0"/>
              <w:bottom w:val="none" w:sz="0"/>
              <w:right w:val="none" w:sz="0"/>
            </w:tcBorders>
          </w:tcPr>
          <w:p>
            <w:pPr>
              <w:jc w:val="right"/>
            </w:pPr>
            <w:r>
              <w:rPr>
                <w:rFonts w:ascii="Arial" w:cs="Arial" w:eastAsia="Arial" w:hAnsi="Arial"/>
                <w:sz w:val="22"/>
                <w:szCs w:val="22"/>
              </w:rPr>
              <w:t xml:space="preserve">3</w:t>
            </w:r>
          </w:p>
        </w:tc>
      </w:tr>
      <w:tr>
        <w:tc>
          <w:tcPr>
            <w:tcW w:type="dxa" w:w="800"/>
            <w:tcBorders>
              <w:top w:val="none" w:sz="0"/>
              <w:left w:val="none" w:sz="0"/>
              <w:bottom w:val="none" w:sz="0"/>
              <w:right w:val="none" w:sz="0"/>
            </w:tcBorders>
          </w:tcPr>
          <w:p>
            <w:r>
              <w:rPr>
                <w:rFonts w:ascii="Arial" w:cs="Arial" w:eastAsia="Arial" w:hAnsi="Arial"/>
                <w:sz w:val="22"/>
                <w:szCs w:val="22"/>
              </w:rPr>
              <w:t xml:space="preserve">3.</w:t>
            </w:r>
          </w:p>
        </w:tc>
        <w:tc>
          <w:tcPr>
            <w:tcW w:type="dxa" w:w="7560"/>
            <w:tcBorders>
              <w:top w:val="none" w:sz="0"/>
              <w:left w:val="none" w:sz="0"/>
              <w:bottom w:val="none" w:sz="0"/>
              <w:right w:val="none" w:sz="0"/>
            </w:tcBorders>
          </w:tcPr>
          <w:p>
            <w:r>
              <w:rPr>
                <w:rFonts w:ascii="Arial" w:cs="Arial" w:eastAsia="Arial" w:hAnsi="Arial"/>
                <w:sz w:val="22"/>
                <w:szCs w:val="22"/>
              </w:rPr>
              <w:t xml:space="preserve">Technical Approach and Methodology</w:t>
            </w:r>
          </w:p>
        </w:tc>
        <w:tc>
          <w:tcPr>
            <w:tcW w:type="dxa" w:w="1000"/>
            <w:tcBorders>
              <w:top w:val="none" w:sz="0"/>
              <w:left w:val="none" w:sz="0"/>
              <w:bottom w:val="none" w:sz="0"/>
              <w:right w:val="none" w:sz="0"/>
            </w:tcBorders>
          </w:tcPr>
          <w:p>
            <w:pPr>
              <w:jc w:val="right"/>
            </w:pPr>
            <w:r>
              <w:rPr>
                <w:rFonts w:ascii="Arial" w:cs="Arial" w:eastAsia="Arial" w:hAnsi="Arial"/>
                <w:sz w:val="22"/>
                <w:szCs w:val="22"/>
              </w:rPr>
              <w:t xml:space="preserve">4</w:t>
            </w:r>
          </w:p>
        </w:tc>
      </w:tr>
      <w:tr>
        <w:tc>
          <w:tcPr>
            <w:tcW w:type="dxa" w:w="800"/>
            <w:tcBorders>
              <w:top w:val="none" w:sz="0"/>
              <w:left w:val="none" w:sz="0"/>
              <w:bottom w:val="none" w:sz="0"/>
              <w:right w:val="none" w:sz="0"/>
            </w:tcBorders>
          </w:tcPr>
          <w:p>
            <w:r>
              <w:rPr>
                <w:rFonts w:ascii="Arial" w:cs="Arial" w:eastAsia="Arial" w:hAnsi="Arial"/>
                <w:sz w:val="22"/>
                <w:szCs w:val="22"/>
              </w:rPr>
              <w:t xml:space="preserve">4.</w:t>
            </w:r>
          </w:p>
        </w:tc>
        <w:tc>
          <w:tcPr>
            <w:tcW w:type="dxa" w:w="7560"/>
            <w:tcBorders>
              <w:top w:val="none" w:sz="0"/>
              <w:left w:val="none" w:sz="0"/>
              <w:bottom w:val="none" w:sz="0"/>
              <w:right w:val="none" w:sz="0"/>
            </w:tcBorders>
          </w:tcPr>
          <w:p>
            <w:r>
              <w:rPr>
                <w:rFonts w:ascii="Arial" w:cs="Arial" w:eastAsia="Arial" w:hAnsi="Arial"/>
                <w:sz w:val="22"/>
                <w:szCs w:val="22"/>
              </w:rPr>
              <w:t xml:space="preserve">Work Plan and Timeline</w:t>
            </w:r>
          </w:p>
        </w:tc>
        <w:tc>
          <w:tcPr>
            <w:tcW w:type="dxa" w:w="1000"/>
            <w:tcBorders>
              <w:top w:val="none" w:sz="0"/>
              <w:left w:val="none" w:sz="0"/>
              <w:bottom w:val="none" w:sz="0"/>
              <w:right w:val="none" w:sz="0"/>
            </w:tcBorders>
          </w:tcPr>
          <w:p>
            <w:pPr>
              <w:jc w:val="right"/>
            </w:pPr>
            <w:r>
              <w:rPr>
                <w:rFonts w:ascii="Arial" w:cs="Arial" w:eastAsia="Arial" w:hAnsi="Arial"/>
                <w:sz w:val="22"/>
                <w:szCs w:val="22"/>
              </w:rPr>
              <w:t xml:space="preserve">7</w:t>
            </w:r>
          </w:p>
        </w:tc>
      </w:tr>
      <w:tr>
        <w:tc>
          <w:tcPr>
            <w:tcW w:type="dxa" w:w="800"/>
            <w:tcBorders>
              <w:top w:val="none" w:sz="0"/>
              <w:left w:val="none" w:sz="0"/>
              <w:bottom w:val="none" w:sz="0"/>
              <w:right w:val="none" w:sz="0"/>
            </w:tcBorders>
          </w:tcPr>
          <w:p>
            <w:r>
              <w:rPr>
                <w:rFonts w:ascii="Arial" w:cs="Arial" w:eastAsia="Arial" w:hAnsi="Arial"/>
                <w:sz w:val="22"/>
                <w:szCs w:val="22"/>
              </w:rPr>
              <w:t xml:space="preserve">5.</w:t>
            </w:r>
          </w:p>
        </w:tc>
        <w:tc>
          <w:tcPr>
            <w:tcW w:type="dxa" w:w="7560"/>
            <w:tcBorders>
              <w:top w:val="none" w:sz="0"/>
              <w:left w:val="none" w:sz="0"/>
              <w:bottom w:val="none" w:sz="0"/>
              <w:right w:val="none" w:sz="0"/>
            </w:tcBorders>
          </w:tcPr>
          <w:p>
            <w:r>
              <w:rPr>
                <w:rFonts w:ascii="Arial" w:cs="Arial" w:eastAsia="Arial" w:hAnsi="Arial"/>
                <w:sz w:val="22"/>
                <w:szCs w:val="22"/>
              </w:rPr>
              <w:t xml:space="preserve">Team Composition and Management</w:t>
            </w:r>
          </w:p>
        </w:tc>
        <w:tc>
          <w:tcPr>
            <w:tcW w:type="dxa" w:w="1000"/>
            <w:tcBorders>
              <w:top w:val="none" w:sz="0"/>
              <w:left w:val="none" w:sz="0"/>
              <w:bottom w:val="none" w:sz="0"/>
              <w:right w:val="none" w:sz="0"/>
            </w:tcBorders>
          </w:tcPr>
          <w:p>
            <w:pPr>
              <w:jc w:val="right"/>
            </w:pPr>
            <w:r>
              <w:rPr>
                <w:rFonts w:ascii="Arial" w:cs="Arial" w:eastAsia="Arial" w:hAnsi="Arial"/>
                <w:sz w:val="22"/>
                <w:szCs w:val="22"/>
              </w:rPr>
              <w:t xml:space="preserve">8</w:t>
            </w:r>
          </w:p>
        </w:tc>
      </w:tr>
      <w:tr>
        <w:tc>
          <w:tcPr>
            <w:tcW w:type="dxa" w:w="800"/>
            <w:tcBorders>
              <w:top w:val="none" w:sz="0"/>
              <w:left w:val="none" w:sz="0"/>
              <w:bottom w:val="none" w:sz="0"/>
              <w:right w:val="none" w:sz="0"/>
            </w:tcBorders>
          </w:tcPr>
          <w:p>
            <w:r>
              <w:rPr>
                <w:rFonts w:ascii="Arial" w:cs="Arial" w:eastAsia="Arial" w:hAnsi="Arial"/>
                <w:sz w:val="22"/>
                <w:szCs w:val="22"/>
              </w:rPr>
              <w:t xml:space="preserve">6.</w:t>
            </w:r>
          </w:p>
        </w:tc>
        <w:tc>
          <w:tcPr>
            <w:tcW w:type="dxa" w:w="7560"/>
            <w:tcBorders>
              <w:top w:val="none" w:sz="0"/>
              <w:left w:val="none" w:sz="0"/>
              <w:bottom w:val="none" w:sz="0"/>
              <w:right w:val="none" w:sz="0"/>
            </w:tcBorders>
          </w:tcPr>
          <w:p>
            <w:r>
              <w:rPr>
                <w:rFonts w:ascii="Arial" w:cs="Arial" w:eastAsia="Arial" w:hAnsi="Arial"/>
                <w:sz w:val="22"/>
                <w:szCs w:val="22"/>
              </w:rPr>
              <w:t xml:space="preserve">Quality Assurance Plan</w:t>
            </w:r>
          </w:p>
        </w:tc>
        <w:tc>
          <w:tcPr>
            <w:tcW w:type="dxa" w:w="1000"/>
            <w:tcBorders>
              <w:top w:val="none" w:sz="0"/>
              <w:left w:val="none" w:sz="0"/>
              <w:bottom w:val="none" w:sz="0"/>
              <w:right w:val="none" w:sz="0"/>
            </w:tcBorders>
          </w:tcPr>
          <w:p>
            <w:pPr>
              <w:jc w:val="right"/>
            </w:pPr>
            <w:r>
              <w:rPr>
                <w:rFonts w:ascii="Arial" w:cs="Arial" w:eastAsia="Arial" w:hAnsi="Arial"/>
                <w:sz w:val="22"/>
                <w:szCs w:val="22"/>
              </w:rPr>
              <w:t xml:space="preserve">9</w:t>
            </w:r>
          </w:p>
        </w:tc>
      </w:tr>
      <w:tr>
        <w:tc>
          <w:tcPr>
            <w:tcW w:type="dxa" w:w="800"/>
            <w:tcBorders>
              <w:top w:val="none" w:sz="0"/>
              <w:left w:val="none" w:sz="0"/>
              <w:bottom w:val="none" w:sz="0"/>
              <w:right w:val="none" w:sz="0"/>
            </w:tcBorders>
          </w:tcPr>
          <w:p>
            <w:r>
              <w:rPr>
                <w:rFonts w:ascii="Arial" w:cs="Arial" w:eastAsia="Arial" w:hAnsi="Arial"/>
                <w:sz w:val="22"/>
                <w:szCs w:val="22"/>
              </w:rPr>
              <w:t xml:space="preserve">7.</w:t>
            </w:r>
          </w:p>
        </w:tc>
        <w:tc>
          <w:tcPr>
            <w:tcW w:type="dxa" w:w="7560"/>
            <w:tcBorders>
              <w:top w:val="none" w:sz="0"/>
              <w:left w:val="none" w:sz="0"/>
              <w:bottom w:val="none" w:sz="0"/>
              <w:right w:val="none" w:sz="0"/>
            </w:tcBorders>
          </w:tcPr>
          <w:p>
            <w:r>
              <w:rPr>
                <w:rFonts w:ascii="Arial" w:cs="Arial" w:eastAsia="Arial" w:hAnsi="Arial"/>
                <w:sz w:val="22"/>
                <w:szCs w:val="22"/>
              </w:rPr>
              <w:t xml:space="preserve">Deliverables</w:t>
            </w:r>
          </w:p>
        </w:tc>
        <w:tc>
          <w:tcPr>
            <w:tcW w:type="dxa" w:w="1000"/>
            <w:tcBorders>
              <w:top w:val="none" w:sz="0"/>
              <w:left w:val="none" w:sz="0"/>
              <w:bottom w:val="none" w:sz="0"/>
              <w:right w:val="none" w:sz="0"/>
            </w:tcBorders>
          </w:tcPr>
          <w:p>
            <w:pPr>
              <w:jc w:val="right"/>
            </w:pPr>
            <w:r>
              <w:rPr>
                <w:rFonts w:ascii="Arial" w:cs="Arial" w:eastAsia="Arial" w:hAnsi="Arial"/>
                <w:sz w:val="22"/>
                <w:szCs w:val="22"/>
              </w:rPr>
              <w:t xml:space="preserve">9</w:t>
            </w:r>
          </w:p>
        </w:tc>
      </w:tr>
      <w:tr>
        <w:tc>
          <w:tcPr>
            <w:tcW w:type="dxa" w:w="800"/>
            <w:tcBorders>
              <w:top w:val="none" w:sz="0"/>
              <w:left w:val="none" w:sz="0"/>
              <w:bottom w:val="none" w:sz="0"/>
              <w:right w:val="none" w:sz="0"/>
            </w:tcBorders>
          </w:tcPr>
          <w:p>
            <w:r>
              <w:rPr>
                <w:rFonts w:ascii="Arial" w:cs="Arial" w:eastAsia="Arial" w:hAnsi="Arial"/>
                <w:sz w:val="22"/>
                <w:szCs w:val="22"/>
              </w:rPr>
              <w:t xml:space="preserve">8.</w:t>
            </w:r>
          </w:p>
        </w:tc>
        <w:tc>
          <w:tcPr>
            <w:tcW w:type="dxa" w:w="7560"/>
            <w:tcBorders>
              <w:top w:val="none" w:sz="0"/>
              <w:left w:val="none" w:sz="0"/>
              <w:bottom w:val="none" w:sz="0"/>
              <w:right w:val="none" w:sz="0"/>
            </w:tcBorders>
          </w:tcPr>
          <w:p>
            <w:r>
              <w:rPr>
                <w:rFonts w:ascii="Arial" w:cs="Arial" w:eastAsia="Arial" w:hAnsi="Arial"/>
                <w:sz w:val="22"/>
                <w:szCs w:val="22"/>
              </w:rPr>
              <w:t xml:space="preserve">Past Performance and References</w:t>
            </w:r>
          </w:p>
        </w:tc>
        <w:tc>
          <w:tcPr>
            <w:tcW w:type="dxa" w:w="1000"/>
            <w:tcBorders>
              <w:top w:val="none" w:sz="0"/>
              <w:left w:val="none" w:sz="0"/>
              <w:bottom w:val="none" w:sz="0"/>
              <w:right w:val="none" w:sz="0"/>
            </w:tcBorders>
          </w:tcPr>
          <w:p>
            <w:pPr>
              <w:jc w:val="right"/>
            </w:pPr>
            <w:r>
              <w:rPr>
                <w:rFonts w:ascii="Arial" w:cs="Arial" w:eastAsia="Arial" w:hAnsi="Arial"/>
                <w:sz w:val="22"/>
                <w:szCs w:val="22"/>
              </w:rPr>
              <w:t xml:space="preserve">10</w:t>
            </w:r>
          </w:p>
        </w:tc>
      </w:tr>
      <w:tr>
        <w:tc>
          <w:tcPr>
            <w:tcW w:type="dxa" w:w="800"/>
            <w:tcBorders>
              <w:top w:val="none" w:sz="0"/>
              <w:left w:val="none" w:sz="0"/>
              <w:bottom w:val="none" w:sz="0"/>
              <w:right w:val="none" w:sz="0"/>
            </w:tcBorders>
          </w:tcPr>
          <w:p>
            <w:r>
              <w:rPr>
                <w:rFonts w:ascii="Arial" w:cs="Arial" w:eastAsia="Arial" w:hAnsi="Arial"/>
                <w:sz w:val="22"/>
                <w:szCs w:val="22"/>
              </w:rPr>
              <w:t xml:space="preserve">9.</w:t>
            </w:r>
          </w:p>
        </w:tc>
        <w:tc>
          <w:tcPr>
            <w:tcW w:type="dxa" w:w="7560"/>
            <w:tcBorders>
              <w:top w:val="none" w:sz="0"/>
              <w:left w:val="none" w:sz="0"/>
              <w:bottom w:val="none" w:sz="0"/>
              <w:right w:val="none" w:sz="0"/>
            </w:tcBorders>
          </w:tcPr>
          <w:p>
            <w:r>
              <w:rPr>
                <w:rFonts w:ascii="Arial" w:cs="Arial" w:eastAsia="Arial" w:hAnsi="Arial"/>
                <w:sz w:val="22"/>
                <w:szCs w:val="22"/>
              </w:rPr>
              <w:t xml:space="preserve">Budget Framework</w:t>
            </w:r>
          </w:p>
        </w:tc>
        <w:tc>
          <w:tcPr>
            <w:tcW w:type="dxa" w:w="1000"/>
            <w:tcBorders>
              <w:top w:val="none" w:sz="0"/>
              <w:left w:val="none" w:sz="0"/>
              <w:bottom w:val="none" w:sz="0"/>
              <w:right w:val="none" w:sz="0"/>
            </w:tcBorders>
          </w:tcPr>
          <w:p>
            <w:pPr>
              <w:jc w:val="right"/>
            </w:pPr>
            <w:r>
              <w:rPr>
                <w:rFonts w:ascii="Arial" w:cs="Arial" w:eastAsia="Arial" w:hAnsi="Arial"/>
                <w:sz w:val="22"/>
                <w:szCs w:val="22"/>
              </w:rPr>
              <w:t xml:space="preserve">10</w:t>
            </w:r>
          </w:p>
        </w:tc>
      </w:tr>
    </w:tbl>
    <w:p>
      <w:r>
        <w:br w:type="page"/>
      </w:r>
    </w:p>
    <w:p>
      <w:pPr>
        <w:pStyle w:val="Heading1"/>
        <w:spacing w:before="300" w:after="200"/>
      </w:pPr>
      <w:r>
        <w:rPr>
          <w:rFonts w:ascii="Arial" w:cs="Arial" w:eastAsia="Arial" w:hAnsi="Arial"/>
          <w:b/>
          <w:bCs/>
          <w:color w:val="1B4F72"/>
          <w:sz w:val="28"/>
          <w:szCs w:val="28"/>
        </w:rPr>
        <w:t xml:space="preserve">1. Executive Summary</w:t>
      </w:r>
    </w:p>
    <w:p>
      <w:pPr>
        <w:spacing w:before="60" w:after="100"/>
        <w:jc w:val="both"/>
      </w:pPr>
      <w:r>
        <w:rPr>
          <w:rFonts w:ascii="Arial" w:cs="Arial" w:eastAsia="Arial" w:hAnsi="Arial"/>
          <w:b w:val="false"/>
          <w:bCs w:val="false"/>
          <w:i w:val="false"/>
          <w:iCs w:val="false"/>
          <w:sz w:val="20"/>
          <w:szCs w:val="20"/>
        </w:rPr>
        <w:t xml:space="preserve">We are pleased to submit this technical proposal in response to Tiko Africa’s call for consultancy services to conduct Routine Data Quality Audits (RDQAs) and facilitate Strategic Data Review Sessions across Tiko-supported health facilities in Kampala and Wakiso Districts, Uganda.</w:t>
      </w:r>
    </w:p>
    <w:p>
      <w:pPr>
        <w:spacing w:before="60" w:after="100"/>
        <w:jc w:val="both"/>
      </w:pPr>
      <w:r>
        <w:rPr>
          <w:rFonts w:ascii="Arial" w:cs="Arial" w:eastAsia="Arial" w:hAnsi="Arial"/>
          <w:b w:val="false"/>
          <w:bCs w:val="false"/>
          <w:i w:val="false"/>
          <w:iCs w:val="false"/>
          <w:sz w:val="20"/>
          <w:szCs w:val="20"/>
        </w:rPr>
        <w:t xml:space="preserve">Our consulting team brings together over 23 combined years of experience in biostatistics, health data quality assurance, monitoring and evaluation, and health management information systems in Uganda. Paul Mubiri, the proposed Lead Consultant, has directly conducted routine data quality assessments across multiple health programmes including the Preterm Birth Initiative (PTBi), Maryland Global Initiative Corporation (MGIC), and the iTECH project at Makerere University, and possesses hands-on proficiency with DHIS2, KoboToolbox, and Uganda’s HMIS reporting tools. Raymond R. Wayesu, the proposed Data Analyst and Biostatistician, brings rigorous quantitative skills from the Uganda Virus Research Institute (UVRI) and extensive experience in data quality control, clinical trial data management, and statistical modelling.</w:t>
      </w:r>
    </w:p>
    <w:p>
      <w:pPr>
        <w:spacing w:before="60" w:after="100"/>
        <w:jc w:val="both"/>
      </w:pPr>
      <w:r>
        <w:rPr>
          <w:rFonts w:ascii="Arial" w:cs="Arial" w:eastAsia="Arial" w:hAnsi="Arial"/>
          <w:b w:val="false"/>
          <w:bCs w:val="false"/>
          <w:i w:val="false"/>
          <w:iCs w:val="false"/>
          <w:sz w:val="20"/>
          <w:szCs w:val="20"/>
        </w:rPr>
        <w:t xml:space="preserve">Our approach is anchored in three internationally recognised frameworks: the MEASURE Evaluation RDQA Tool, the WHO Data Quality Review (DQR) Toolkit, and Uganda Ministry of Health HMIS guidelines. We propose a dual-system verification methodology that cross-references Tiko Platform data against facility-level HMIS source documents and DHIS2 reported values — bridging Tiko’s innovative digital data ecosystem with national reporting standards. This methodology, combined with participatory root cause analysis and structured follow-up mechanisms, will ensure that Tiko’s programmatic data is accurate, complete, and actionable.</w:t>
      </w:r>
    </w:p>
    <w:p>
      <w:pPr>
        <w:spacing w:before="60" w:after="100"/>
        <w:jc w:val="both"/>
      </w:pPr>
      <w:r>
        <w:rPr>
          <w:rFonts w:ascii="Arial" w:cs="Arial" w:eastAsia="Arial" w:hAnsi="Arial"/>
          <w:b w:val="false"/>
          <w:bCs w:val="false"/>
          <w:i w:val="false"/>
          <w:iCs w:val="false"/>
          <w:sz w:val="20"/>
          <w:szCs w:val="20"/>
        </w:rPr>
        <w:t xml:space="preserve">To demonstrate our technical capabilities and the quality of our analytical outputs, we have developed an interactive RDQA Demo Dashboard showcasing our verification factor analysis, systems assessment visualisations, root cause taxonomy, and data triangulation methodology. The dashboard is accessible at: </w:t>
      </w:r>
      <w:r>
        <w:rPr>
          <w:b/>
          <w:color w:val="1A365D"/>
          <w:sz w:val="20"/>
          <w:szCs w:val="20"/>
          <w:rFonts w:ascii="Arial" w:cs="Arial" w:eastAsia="Arial" w:hAnsi="Arial"/>
        </w:rPr>
        <w:t>https://rdqa-demo.vercel.app/</w:t>
      </w:r>
    </w:p>
    <w:p>
      <w:pPr>
        <w:spacing w:before="60" w:after="100"/>
        <w:jc w:val="both"/>
      </w:pPr>
      <w:r>
        <w:t xml:space="preserve">We have also developed a full-featured </w:t>
      </w:r>
      <w:r>
        <w:rPr>
          <w:b/>
        </w:rPr>
        <w:t>RDQA Web Tool</w:t>
      </w:r>
      <w:r>
        <w:t xml:space="preserve"> — a live R/Shiny application that goes beyond the static demo by providing interactive data entry, real-time Verification Factor computation, M&amp;E systems assessment with radar charts, datimvalidation-style checks, three-way data triangulation, and downloadable reports. The web tool supports both demo mode and live DHIS2 integration. It is accessible at: </w:t>
      </w:r>
      <w:hyperlink r:id="rId9">
        <w:r>
          <w:rPr>
            <w:color w:val="0563C1"/>
            <w:u w:val="single"/>
          </w:rPr>
          <w:t>https://dnfxdz-raymond-wayesu.shinyapps.io/rdqa-web-tool/</w:t>
        </w:r>
      </w:hyperlink>
    </w:p>
    <w:p>
      <w:pPr>
        <w:pStyle w:val="Heading1"/>
        <w:spacing w:before="300" w:after="200"/>
      </w:pPr>
      <w:r>
        <w:rPr>
          <w:rFonts w:ascii="Arial" w:cs="Arial" w:eastAsia="Arial" w:hAnsi="Arial"/>
          <w:b/>
          <w:bCs/>
          <w:color w:val="1B4F72"/>
          <w:sz w:val="28"/>
          <w:szCs w:val="28"/>
        </w:rPr>
        <w:t xml:space="preserve">2. Understanding of the Assignment</w:t>
      </w:r>
    </w:p>
    <w:p>
      <w:pPr>
        <w:spacing w:before="60" w:after="100"/>
        <w:jc w:val="both"/>
      </w:pPr>
      <w:r>
        <w:rPr>
          <w:rFonts w:ascii="Arial" w:cs="Arial" w:eastAsia="Arial" w:hAnsi="Arial"/>
          <w:b w:val="false"/>
          <w:bCs w:val="false"/>
          <w:i w:val="false"/>
          <w:iCs w:val="false"/>
          <w:sz w:val="20"/>
          <w:szCs w:val="20"/>
        </w:rPr>
        <w:t xml:space="preserve">Tiko Africa (formerly Triggerise), founded in 2014, is an African non-profit organisation empowering adolescent girls and young women (AGYW) aged 15–24 through improved access to sexual and reproductive health (SRH), HIV, sexual and gender-based violence (SGBV), and mental health services. In Uganda, Tiko operates through partnerships with private franchised and non-franchised facilities, public health facilities, and local government authorities (KCCA and Wakiso District), reaching approximately 54 health service providers, 296 community mobilisers, and 46 local retailers.</w:t>
      </w:r>
    </w:p>
    <w:p>
      <w:pPr>
        <w:spacing w:before="60" w:after="100"/>
        <w:jc w:val="both"/>
      </w:pPr>
      <w:r>
        <w:rPr>
          <w:rFonts w:ascii="Arial" w:cs="Arial" w:eastAsia="Arial" w:hAnsi="Arial"/>
          <w:b w:val="false"/>
          <w:bCs w:val="false"/>
          <w:i w:val="false"/>
          <w:iCs w:val="false"/>
          <w:sz w:val="20"/>
          <w:szCs w:val="20"/>
        </w:rPr>
        <w:t xml:space="preserve">The Tiko Platform — accessible via SMS, WhatsApp, Tiko cards, and a light Android app — enables real-time data collection on service delivery, client interactions, and demand generation. While the platform incorporates advanced quality features (AI-based fraud detection, biometric authentication, GPS tracking), a structured and independent RDQA process is essential to systematically verify reported data against primary source documents (HMIS registers) and the national DHIS2 system.</w:t>
      </w:r>
    </w:p>
    <w:p>
      <w:pPr>
        <w:spacing w:before="60" w:after="100"/>
        <w:jc w:val="both"/>
      </w:pPr>
      <w:r>
        <w:rPr>
          <w:rFonts w:ascii="Arial" w:cs="Arial" w:eastAsia="Arial" w:hAnsi="Arial"/>
          <w:b/>
          <w:bCs/>
          <w:sz w:val="20"/>
          <w:szCs w:val="20"/>
        </w:rPr>
        <w:t xml:space="preserve">We understand the core challenge: </w:t>
      </w:r>
      <w:r>
        <w:rPr>
          <w:rFonts w:ascii="Arial" w:cs="Arial" w:eastAsia="Arial" w:hAnsi="Arial"/>
          <w:sz w:val="20"/>
          <w:szCs w:val="20"/>
        </w:rPr>
        <w:t xml:space="preserve">Tiko’s digital data pipeline and Uganda’s paper-based HMIS reporting system operate in parallel. Discrepancies between these systems — whether caused by transcription errors, staff capacity gaps, stock-outs of HMIS tools, misunderstanding of the Tiko app, or intentional data falsification — must be identified, root-caused, and resolved through collaborative corrective action. The RDQA must also account for broader contextual factors such as donor funding shifts, new health policies, and facility-level resource constraints.</w:t>
      </w:r>
    </w:p>
    <w:p>
      <w:pPr>
        <w:spacing w:before="60" w:after="100"/>
        <w:jc w:val="both"/>
      </w:pPr>
      <w:r>
        <w:rPr>
          <w:rFonts w:ascii="Arial" w:cs="Arial" w:eastAsia="Arial" w:hAnsi="Arial"/>
          <w:b w:val="false"/>
          <w:bCs w:val="false"/>
          <w:i w:val="false"/>
          <w:iCs w:val="false"/>
          <w:sz w:val="20"/>
          <w:szCs w:val="20"/>
        </w:rPr>
        <w:t xml:space="preserve">The consultancy demands a consultant team that combines deep technical knowledge of Uganda’s HMIS/DHIS2 infrastructure with the ability to work within Tiko’s technology-driven environment, coordinate effectively with KCCA and Wakiso District health authorities, and foster a culture of data use and ownership at facility level. Our team meets all of these requirements.</w:t>
      </w:r>
    </w:p>
    <w:p>
      <w:r>
        <w:br w:type="page"/>
      </w:r>
    </w:p>
    <w:p>
      <w:pPr>
        <w:pStyle w:val="Heading1"/>
        <w:spacing w:before="300" w:after="200"/>
      </w:pPr>
      <w:r>
        <w:rPr>
          <w:rFonts w:ascii="Arial" w:cs="Arial" w:eastAsia="Arial" w:hAnsi="Arial"/>
          <w:b/>
          <w:bCs/>
          <w:color w:val="1B4F72"/>
          <w:sz w:val="28"/>
          <w:szCs w:val="28"/>
        </w:rPr>
        <w:t xml:space="preserve">3. Technical Approach and Methodology</w:t>
      </w:r>
    </w:p>
    <w:p>
      <w:pPr>
        <w:pStyle w:val="Heading2"/>
        <w:spacing w:before="240" w:after="120"/>
      </w:pPr>
      <w:r>
        <w:rPr>
          <w:rFonts w:ascii="Arial" w:cs="Arial" w:eastAsia="Arial" w:hAnsi="Arial"/>
          <w:b/>
          <w:bCs/>
          <w:color w:val="2E86C1"/>
          <w:sz w:val="24"/>
          <w:szCs w:val="24"/>
        </w:rPr>
        <w:t xml:space="preserve">3.1 Guiding Frameworks</w:t>
      </w:r>
    </w:p>
    <w:p>
      <w:pPr>
        <w:spacing w:before="60" w:after="100"/>
        <w:jc w:val="both"/>
      </w:pPr>
      <w:r>
        <w:rPr>
          <w:rFonts w:ascii="Arial" w:cs="Arial" w:eastAsia="Arial" w:hAnsi="Arial"/>
          <w:b w:val="false"/>
          <w:bCs w:val="false"/>
          <w:i w:val="false"/>
          <w:iCs w:val="false"/>
          <w:sz w:val="20"/>
          <w:szCs w:val="20"/>
        </w:rPr>
        <w:t xml:space="preserve">Our methodology integrates three complementary frameworks to ensure rigour, credibility, and alignment with national standards:</w:t>
      </w:r>
    </w:p>
    <w:p>
      <w:pPr>
        <w:pStyle w:val="ListParagraph"/>
        <w:numPr>
          <w:ilvl w:val="0"/>
          <w:numId w:val="2"/>
        </w:numPr>
        <w:spacing w:before="40" w:after="40"/>
      </w:pPr>
      <w:r>
        <w:rPr>
          <w:rFonts w:ascii="Arial" w:cs="Arial" w:eastAsia="Arial" w:hAnsi="Arial"/>
          <w:b/>
          <w:bCs/>
          <w:sz w:val="20"/>
          <w:szCs w:val="20"/>
        </w:rPr>
        <w:t xml:space="preserve">MEASURE Evaluation RDQA Tool: </w:t>
      </w:r>
      <w:r>
        <w:rPr>
          <w:rFonts w:ascii="Arial" w:cs="Arial" w:eastAsia="Arial" w:hAnsi="Arial"/>
          <w:sz w:val="20"/>
          <w:szCs w:val="20"/>
        </w:rPr>
        <w:t xml:space="preserve">Provides the core structure for data verification (Part 1: recounting from source documents and computing Verification Factors) and systems assessment (Part 2: scoring M&amp;E capacity across five functional areas).</w:t>
      </w:r>
    </w:p>
    <w:p>
      <w:pPr>
        <w:pStyle w:val="ListParagraph"/>
        <w:numPr>
          <w:ilvl w:val="0"/>
          <w:numId w:val="2"/>
        </w:numPr>
        <w:spacing w:before="40" w:after="40"/>
      </w:pPr>
      <w:r>
        <w:rPr>
          <w:rFonts w:ascii="Arial" w:cs="Arial" w:eastAsia="Arial" w:hAnsi="Arial"/>
          <w:b/>
          <w:bCs/>
          <w:sz w:val="20"/>
          <w:szCs w:val="20"/>
        </w:rPr>
        <w:t xml:space="preserve">WHO Data Quality Review (DQR) Toolkit: </w:t>
      </w:r>
      <w:r>
        <w:rPr>
          <w:rFonts w:ascii="Arial" w:cs="Arial" w:eastAsia="Arial" w:hAnsi="Arial"/>
          <w:sz w:val="20"/>
          <w:szCs w:val="20"/>
        </w:rPr>
        <w:t xml:space="preserve">Frames the assessment around four quality dimensions — completeness and timeliness, internal consistency, external consistency, and population data comparisons.</w:t>
      </w:r>
    </w:p>
    <w:p>
      <w:pPr>
        <w:pStyle w:val="ListParagraph"/>
        <w:numPr>
          <w:ilvl w:val="0"/>
          <w:numId w:val="2"/>
        </w:numPr>
        <w:spacing w:before="40" w:after="40"/>
      </w:pPr>
      <w:r>
        <w:rPr>
          <w:rFonts w:ascii="Arial" w:cs="Arial" w:eastAsia="Arial" w:hAnsi="Arial"/>
          <w:b/>
          <w:bCs/>
          <w:sz w:val="20"/>
          <w:szCs w:val="20"/>
        </w:rPr>
        <w:t xml:space="preserve">Uganda MoH HMIS Guidelines: </w:t>
      </w:r>
      <w:r>
        <w:rPr>
          <w:rFonts w:ascii="Arial" w:cs="Arial" w:eastAsia="Arial" w:hAnsi="Arial"/>
          <w:sz w:val="20"/>
          <w:szCs w:val="20"/>
        </w:rPr>
        <w:t xml:space="preserve">Ensures all verification activities align with national data quality attributes (accuracy, completeness, validity, consistency, uniqueness, and timeliness) and use official HMIS registers (HMIS 031, 055B, 071, 074, 080/081) and reporting tools (HMIS 105, HMIS 106a).</w:t>
      </w:r>
    </w:p>
    <w:p>
      <w:pPr>
        <w:pStyle w:val="Heading2"/>
        <w:spacing w:before="240" w:after="120"/>
      </w:pPr>
      <w:r>
        <w:rPr>
          <w:rFonts w:ascii="Arial" w:cs="Arial" w:eastAsia="Arial" w:hAnsi="Arial"/>
          <w:b/>
          <w:bCs/>
          <w:color w:val="2E86C1"/>
          <w:sz w:val="24"/>
          <w:szCs w:val="24"/>
        </w:rPr>
        <w:t xml:space="preserve">3.2 Dual-System Verification Approach</w:t>
      </w:r>
    </w:p>
    <w:p>
      <w:pPr>
        <w:spacing w:before="60" w:after="100"/>
        <w:jc w:val="both"/>
      </w:pPr>
      <w:r>
        <w:rPr>
          <w:rFonts w:ascii="Arial" w:cs="Arial" w:eastAsia="Arial" w:hAnsi="Arial"/>
          <w:b w:val="false"/>
          <w:bCs w:val="false"/>
          <w:i w:val="false"/>
          <w:iCs w:val="false"/>
          <w:sz w:val="20"/>
          <w:szCs w:val="20"/>
        </w:rPr>
        <w:t xml:space="preserve">The unique value of this RDQA lies in its three-way data triangulation across: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Data Source</w:t>
            </w:r>
          </w:p>
        </w:tc>
        <w:tc>
          <w:tcPr>
            <w:tcW w:type="dxa" w:w="35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35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Verification Method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Tiko Platform</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Real-time digital records of services delivered, client interactions, and provider validation via the Tiko app/SMS/WhatsApp</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Extract Tiko reports for selected indicators and reporting periods; compare aggregated counts against facility registers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Facility Source Documents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Primary HMIS registers (HMIS 031, 055B, 071, 074, 080/081), tally sheets, and monthly summary reports (HMIS 105)</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Physical recounting from registers for selected indicators; compute Verification Factor (VF = Recounted / Reported × 100%)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National DHIS2</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District-level aggregate data as entered by District Biostatisticians from facility HMIS 105 reports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Extract DHIS2 data for same indicators/periods; compare against both facility reports and Tiko data</w:t>
            </w:r>
          </w:p>
        </w:tc>
      </w:tr>
    </w:tbl>
    <w:p>
      <w:pPr>
        <w:spacing w:before="150" w:after="100"/>
        <w:jc w:val="both"/>
      </w:pPr>
      <w:r>
        <w:rPr>
          <w:rFonts w:ascii="Arial" w:cs="Arial" w:eastAsia="Arial" w:hAnsi="Arial"/>
          <w:b w:val="false"/>
          <w:bCs w:val="false"/>
          <w:i w:val="false"/>
          <w:iCs w:val="false"/>
          <w:sz w:val="20"/>
          <w:szCs w:val="20"/>
        </w:rPr>
        <w:t xml:space="preserve">A Verification Factor (VF) within the ±10% tolerance band (90–110%) is considered acceptable. Values below 90% signal potential over-reporting; values above 110% indicate under-reporting. All discrepancies outside this band will trigger root cause investigation.</w:t>
      </w:r>
    </w:p>
    <w:p>
      <w:pPr>
        <w:pStyle w:val="Heading2"/>
        <w:spacing w:before="240" w:after="120"/>
      </w:pPr>
      <w:r>
        <w:rPr>
          <w:rFonts w:ascii="Arial" w:cs="Arial" w:eastAsia="Arial" w:hAnsi="Arial"/>
          <w:b/>
          <w:bCs/>
          <w:color w:val="2E86C1"/>
          <w:sz w:val="24"/>
          <w:szCs w:val="24"/>
        </w:rPr>
        <w:t xml:space="preserve">3.3 Monthly RDQA Process</w:t>
      </w:r>
    </w:p>
    <w:p>
      <w:pPr>
        <w:spacing w:before="60" w:after="100"/>
        <w:jc w:val="both"/>
      </w:pPr>
      <w:r>
        <w:rPr>
          <w:rFonts w:ascii="Arial" w:cs="Arial" w:eastAsia="Arial" w:hAnsi="Arial"/>
          <w:b w:val="false"/>
          <w:bCs w:val="false"/>
          <w:i w:val="false"/>
          <w:iCs w:val="false"/>
          <w:sz w:val="20"/>
          <w:szCs w:val="20"/>
        </w:rPr>
        <w:t xml:space="preserve">Each monthly RDQA cycle will follow a structured sequence of activities:</w:t>
      </w:r>
    </w:p>
    <w:p>
      <w:pPr>
        <w:spacing w:before="150" w:after="100"/>
        <w:jc w:val="both"/>
      </w:pPr>
      <w:r>
        <w:rPr>
          <w:rFonts w:ascii="Arial" w:cs="Arial" w:eastAsia="Arial" w:hAnsi="Arial"/>
          <w:b/>
          <w:bCs/>
          <w:color w:val="1B4F72"/>
          <w:sz w:val="20"/>
          <w:szCs w:val="20"/>
        </w:rPr>
        <w:t xml:space="preserve">Phase 1: Pre-Visit Preparation (Days 1–3)</w:t>
      </w:r>
    </w:p>
    <w:p>
      <w:pPr>
        <w:pStyle w:val="ListParagraph"/>
        <w:numPr>
          <w:ilvl w:val="0"/>
          <w:numId w:val="2"/>
        </w:numPr>
        <w:spacing w:before="40" w:after="40"/>
      </w:pPr>
      <w:r>
        <w:rPr>
          <w:rFonts w:ascii="Arial" w:cs="Arial" w:eastAsia="Arial" w:hAnsi="Arial"/>
          <w:sz w:val="20"/>
          <w:szCs w:val="20"/>
        </w:rPr>
        <w:t xml:space="preserve">Receive facility list and indicator priorities from Tiko for the audit month.</w:t>
      </w:r>
    </w:p>
    <w:p>
      <w:pPr>
        <w:pStyle w:val="ListParagraph"/>
        <w:numPr>
          <w:ilvl w:val="0"/>
          <w:numId w:val="2"/>
        </w:numPr>
        <w:spacing w:before="40" w:after="40"/>
      </w:pPr>
      <w:r>
        <w:rPr>
          <w:rFonts w:ascii="Arial" w:cs="Arial" w:eastAsia="Arial" w:hAnsi="Arial"/>
          <w:sz w:val="20"/>
          <w:szCs w:val="20"/>
        </w:rPr>
        <w:t xml:space="preserve">Conduct desk review of Tiko Platform data exports and DHIS2 data using the WHO Data Quality App to pre-identify facilities and indicators with potential quality issues.</w:t>
      </w:r>
    </w:p>
    <w:p>
      <w:pPr>
        <w:pStyle w:val="ListParagraph"/>
        <w:numPr>
          <w:ilvl w:val="0"/>
          <w:numId w:val="2"/>
        </w:numPr>
        <w:spacing w:before="40" w:after="40"/>
      </w:pPr>
      <w:r>
        <w:rPr>
          <w:rFonts w:ascii="Arial" w:cs="Arial" w:eastAsia="Arial" w:hAnsi="Arial"/>
          <w:sz w:val="20"/>
          <w:szCs w:val="20"/>
        </w:rPr>
        <w:t xml:space="preserve">Coordinate with KCCA and Wakiso District Health Teams for joint participation in field visits.</w:t>
      </w:r>
    </w:p>
    <w:p>
      <w:pPr>
        <w:pStyle w:val="ListParagraph"/>
        <w:numPr>
          <w:ilvl w:val="0"/>
          <w:numId w:val="2"/>
        </w:numPr>
        <w:spacing w:before="40" w:after="40"/>
      </w:pPr>
      <w:r>
        <w:rPr>
          <w:rFonts w:ascii="Arial" w:cs="Arial" w:eastAsia="Arial" w:hAnsi="Arial"/>
          <w:sz w:val="20"/>
          <w:szCs w:val="20"/>
        </w:rPr>
        <w:t xml:space="preserve">Prepare and pre-load digital RDQA instruments on KoboToolbox with facility-specific cascading selects, indicator definitions, and auto-calculated verification ratios.</w:t>
      </w:r>
    </w:p>
    <w:p>
      <w:pPr>
        <w:pStyle w:val="ListParagraph"/>
        <w:numPr>
          <w:ilvl w:val="0"/>
          <w:numId w:val="2"/>
        </w:numPr>
        <w:spacing w:before="40" w:after="40"/>
      </w:pPr>
      <w:r>
        <w:rPr>
          <w:rFonts w:ascii="Arial" w:cs="Arial" w:eastAsia="Arial" w:hAnsi="Arial"/>
          <w:sz w:val="20"/>
          <w:szCs w:val="20"/>
        </w:rPr>
        <w:t xml:space="preserve">Review status of action points from the previous month’s RDQA.</w:t>
      </w:r>
    </w:p>
    <w:p>
      <w:pPr>
        <w:spacing w:before="150" w:after="100"/>
        <w:jc w:val="both"/>
      </w:pPr>
      <w:r>
        <w:rPr>
          <w:rFonts w:ascii="Arial" w:cs="Arial" w:eastAsia="Arial" w:hAnsi="Arial"/>
          <w:b/>
          <w:bCs/>
          <w:color w:val="1B4F72"/>
          <w:sz w:val="20"/>
          <w:szCs w:val="20"/>
        </w:rPr>
        <w:t xml:space="preserve">Phase 2: On-Site RDQA Execution (Days 4–18)</w:t>
      </w:r>
    </w:p>
    <w:p>
      <w:pPr>
        <w:pStyle w:val="ListParagraph"/>
        <w:numPr>
          <w:ilvl w:val="0"/>
          <w:numId w:val="2"/>
        </w:numPr>
        <w:spacing w:before="40" w:after="40"/>
      </w:pPr>
      <w:r>
        <w:rPr>
          <w:rFonts w:ascii="Arial" w:cs="Arial" w:eastAsia="Arial" w:hAnsi="Arial"/>
          <w:sz w:val="20"/>
          <w:szCs w:val="20"/>
        </w:rPr>
        <w:t xml:space="preserve">Deploy field audit sub-teams (2–3 persons per facility) for systematic data verification.</w:t>
      </w:r>
    </w:p>
    <w:p>
      <w:pPr>
        <w:pStyle w:val="ListParagraph"/>
        <w:numPr>
          <w:ilvl w:val="0"/>
          <w:numId w:val="2"/>
        </w:numPr>
        <w:spacing w:before="40" w:after="40"/>
      </w:pPr>
      <w:r>
        <w:rPr>
          <w:rFonts w:ascii="Arial" w:cs="Arial" w:eastAsia="Arial" w:hAnsi="Arial"/>
          <w:sz w:val="20"/>
          <w:szCs w:val="20"/>
        </w:rPr>
        <w:t xml:space="preserve">At each facility: (a) introduce the RDQA purpose and process to facility staff; (b) extract and recount data from primary HMIS registers for selected indicators; (c) compare recounted values against Tiko Platform reports and HMIS 105 monthly summaries; (d) compute Verification Factors for each indicator; (e) photograph register pages and reports as evidence; (f) assess the completeness and condition of health records.</w:t>
      </w:r>
    </w:p>
    <w:p>
      <w:pPr>
        <w:pStyle w:val="ListParagraph"/>
        <w:numPr>
          <w:ilvl w:val="0"/>
          <w:numId w:val="2"/>
        </w:numPr>
        <w:spacing w:before="40" w:after="40"/>
      </w:pPr>
      <w:r>
        <w:rPr>
          <w:rFonts w:ascii="Arial" w:cs="Arial" w:eastAsia="Arial" w:hAnsi="Arial"/>
          <w:sz w:val="20"/>
          <w:szCs w:val="20"/>
        </w:rPr>
        <w:t xml:space="preserve">Document contextual observations: staffing levels, register stock-outs, data management practices, facility infrastructure, and any broader factors (donor shifts, policy changes) affecting data quality.</w:t>
      </w:r>
    </w:p>
    <w:p>
      <w:pPr>
        <w:pStyle w:val="ListParagraph"/>
        <w:numPr>
          <w:ilvl w:val="0"/>
          <w:numId w:val="2"/>
        </w:numPr>
        <w:spacing w:before="40" w:after="40"/>
      </w:pPr>
      <w:r>
        <w:rPr>
          <w:rFonts w:ascii="Arial" w:cs="Arial" w:eastAsia="Arial" w:hAnsi="Arial"/>
          <w:sz w:val="20"/>
          <w:szCs w:val="20"/>
        </w:rPr>
        <w:t xml:space="preserve">Conduct brief qualitative interviews with facility in-charges and data personnel for root cause analysis of identified discrepancies, using a structured interview guide exploring staff attitudes, training gaps, tool usability, and systemic barriers.</w:t>
      </w:r>
    </w:p>
    <w:p>
      <w:pPr>
        <w:pStyle w:val="ListParagraph"/>
        <w:numPr>
          <w:ilvl w:val="0"/>
          <w:numId w:val="2"/>
        </w:numPr>
        <w:spacing w:before="40" w:after="40"/>
      </w:pPr>
      <w:r>
        <w:rPr>
          <w:rFonts w:ascii="Arial" w:cs="Arial" w:eastAsia="Arial" w:hAnsi="Arial"/>
          <w:sz w:val="20"/>
          <w:szCs w:val="20"/>
        </w:rPr>
        <w:t xml:space="preserve">Verify closure of action points from previous audit cycles with facility staff, collecting evidence of resolution.</w:t>
      </w:r>
    </w:p>
    <w:p>
      <w:pPr>
        <w:pStyle w:val="ListParagraph"/>
        <w:numPr>
          <w:ilvl w:val="0"/>
          <w:numId w:val="2"/>
        </w:numPr>
        <w:spacing w:before="40" w:after="40"/>
      </w:pPr>
      <w:r>
        <w:rPr>
          <w:rFonts w:ascii="Arial" w:cs="Arial" w:eastAsia="Arial" w:hAnsi="Arial"/>
          <w:sz w:val="20"/>
          <w:szCs w:val="20"/>
        </w:rPr>
        <w:t xml:space="preserve">Provide on-the-spot verbal feedback and agree preliminary corrective actions collaboratively with facility staff.</w:t>
      </w:r>
    </w:p>
    <w:p>
      <w:pPr>
        <w:spacing w:before="150" w:after="100"/>
        <w:jc w:val="both"/>
      </w:pPr>
      <w:r>
        <w:rPr>
          <w:rFonts w:ascii="Arial" w:cs="Arial" w:eastAsia="Arial" w:hAnsi="Arial"/>
          <w:b/>
          <w:bCs/>
          <w:color w:val="1B4F72"/>
          <w:sz w:val="20"/>
          <w:szCs w:val="20"/>
        </w:rPr>
        <w:t xml:space="preserve">Phase 3: Analysis and Reporting (Days 19–25)</w:t>
      </w:r>
    </w:p>
    <w:p>
      <w:pPr>
        <w:pStyle w:val="ListParagraph"/>
        <w:numPr>
          <w:ilvl w:val="0"/>
          <w:numId w:val="2"/>
        </w:numPr>
        <w:spacing w:before="40" w:after="40"/>
      </w:pPr>
      <w:r>
        <w:rPr>
          <w:rFonts w:ascii="Arial" w:cs="Arial" w:eastAsia="Arial" w:hAnsi="Arial"/>
          <w:sz w:val="20"/>
          <w:szCs w:val="20"/>
        </w:rPr>
        <w:t xml:space="preserve">Clean and validate field data from KoboToolbox exports.</w:t>
      </w:r>
    </w:p>
    <w:p>
      <w:pPr>
        <w:pStyle w:val="ListParagraph"/>
        <w:numPr>
          <w:ilvl w:val="0"/>
          <w:numId w:val="2"/>
        </w:numPr>
        <w:spacing w:before="40" w:after="40"/>
      </w:pPr>
      <w:r>
        <w:rPr>
          <w:rFonts w:ascii="Arial" w:cs="Arial" w:eastAsia="Arial" w:hAnsi="Arial"/>
          <w:sz w:val="20"/>
          <w:szCs w:val="20"/>
        </w:rPr>
        <w:t xml:space="preserve">Compute final Verification Factors by indicator and facility; generate facility-level scorecards and systems assessment spider charts.</w:t>
      </w:r>
    </w:p>
    <w:p>
      <w:pPr>
        <w:pStyle w:val="ListParagraph"/>
        <w:numPr>
          <w:ilvl w:val="0"/>
          <w:numId w:val="2"/>
        </w:numPr>
        <w:spacing w:before="40" w:after="40"/>
      </w:pPr>
      <w:r>
        <w:rPr>
          <w:rFonts w:ascii="Arial" w:cs="Arial" w:eastAsia="Arial" w:hAnsi="Arial"/>
          <w:sz w:val="20"/>
          <w:szCs w:val="20"/>
        </w:rPr>
        <w:t xml:space="preserve">Compile Individual Facility Reports documenting variances, root causes, and recommended corrective actions.</w:t>
      </w:r>
    </w:p>
    <w:p>
      <w:pPr>
        <w:pStyle w:val="ListParagraph"/>
        <w:numPr>
          <w:ilvl w:val="0"/>
          <w:numId w:val="2"/>
        </w:numPr>
        <w:spacing w:before="40" w:after="40"/>
      </w:pPr>
      <w:r>
        <w:rPr>
          <w:rFonts w:ascii="Arial" w:cs="Arial" w:eastAsia="Arial" w:hAnsi="Arial"/>
          <w:sz w:val="20"/>
          <w:szCs w:val="20"/>
        </w:rPr>
        <w:t xml:space="preserve">Update the Action Point Tracker with status classifications (“Closed,” “Pending,” or “Overdue”) and supporting evidence.</w:t>
      </w:r>
    </w:p>
    <w:p>
      <w:pPr>
        <w:pStyle w:val="ListParagraph"/>
        <w:numPr>
          <w:ilvl w:val="0"/>
          <w:numId w:val="2"/>
        </w:numPr>
        <w:spacing w:before="40" w:after="40"/>
      </w:pPr>
      <w:r>
        <w:rPr>
          <w:rFonts w:ascii="Arial" w:cs="Arial" w:eastAsia="Arial" w:hAnsi="Arial"/>
          <w:sz w:val="20"/>
          <w:szCs w:val="20"/>
        </w:rPr>
        <w:t xml:space="preserve">Submit Final Cleaned Dataset and Comparative Checks Report to Tiko by the 25th of the month.</w:t>
      </w:r>
    </w:p>
    <w:p>
      <w:pPr>
        <w:pStyle w:val="Heading2"/>
        <w:spacing w:before="240" w:after="120"/>
      </w:pPr>
      <w:r>
        <w:rPr>
          <w:rFonts w:ascii="Arial" w:cs="Arial" w:eastAsia="Arial" w:hAnsi="Arial"/>
          <w:b/>
          <w:bCs/>
          <w:color w:val="2E86C1"/>
          <w:sz w:val="24"/>
          <w:szCs w:val="24"/>
        </w:rPr>
        <w:t xml:space="preserve">3.4 Quarterly Facility Data Review Sessions</w:t>
      </w:r>
    </w:p>
    <w:p>
      <w:pPr>
        <w:spacing w:before="60" w:after="100"/>
        <w:jc w:val="both"/>
      </w:pPr>
      <w:r>
        <w:rPr>
          <w:rFonts w:ascii="Arial" w:cs="Arial" w:eastAsia="Arial" w:hAnsi="Arial"/>
          <w:b w:val="false"/>
          <w:bCs w:val="false"/>
          <w:i w:val="false"/>
          <w:iCs w:val="false"/>
          <w:sz w:val="20"/>
          <w:szCs w:val="20"/>
        </w:rPr>
        <w:t xml:space="preserve">Quarterly, we will support Tiko in executing Facility Data Review Sessions that go beyond compliance to drive continuous performance improvement. Each session will:</w:t>
      </w:r>
    </w:p>
    <w:p>
      <w:pPr>
        <w:pStyle w:val="ListParagraph"/>
        <w:numPr>
          <w:ilvl w:val="0"/>
          <w:numId w:val="2"/>
        </w:numPr>
        <w:spacing w:before="40" w:after="40"/>
      </w:pPr>
      <w:r>
        <w:rPr>
          <w:rFonts w:ascii="Arial" w:cs="Arial" w:eastAsia="Arial" w:hAnsi="Arial"/>
          <w:sz w:val="20"/>
          <w:szCs w:val="20"/>
        </w:rPr>
        <w:t xml:space="preserve">Bring together facility in-charges, providers, data personnel, mobilisers (YAPs), and Tiko staff in a participatory forum.</w:t>
      </w:r>
    </w:p>
    <w:p>
      <w:pPr>
        <w:pStyle w:val="ListParagraph"/>
        <w:numPr>
          <w:ilvl w:val="0"/>
          <w:numId w:val="2"/>
        </w:numPr>
        <w:spacing w:before="40" w:after="40"/>
      </w:pPr>
      <w:r>
        <w:rPr>
          <w:rFonts w:ascii="Arial" w:cs="Arial" w:eastAsia="Arial" w:hAnsi="Arial"/>
          <w:sz w:val="20"/>
          <w:szCs w:val="20"/>
        </w:rPr>
        <w:t xml:space="preserve">Present before/after performance trend analysis covering the previous six months, using visualisations of Verification Factors, service delivery volumes, and demand generation metrics.</w:t>
      </w:r>
    </w:p>
    <w:p>
      <w:pPr>
        <w:pStyle w:val="ListParagraph"/>
        <w:numPr>
          <w:ilvl w:val="0"/>
          <w:numId w:val="2"/>
        </w:numPr>
        <w:spacing w:before="40" w:after="40"/>
      </w:pPr>
      <w:r>
        <w:rPr>
          <w:rFonts w:ascii="Arial" w:cs="Arial" w:eastAsia="Arial" w:hAnsi="Arial"/>
          <w:sz w:val="20"/>
          <w:szCs w:val="20"/>
        </w:rPr>
        <w:t xml:space="preserve">Present Quality Assurance (QA) findings and explicitly link data discrepancies to the Facility Improvement Plan (FIP), highlighting financial and reputational implications.</w:t>
      </w:r>
    </w:p>
    <w:p>
      <w:pPr>
        <w:pStyle w:val="ListParagraph"/>
        <w:numPr>
          <w:ilvl w:val="0"/>
          <w:numId w:val="2"/>
        </w:numPr>
        <w:spacing w:before="40" w:after="40"/>
      </w:pPr>
      <w:r>
        <w:rPr>
          <w:rFonts w:ascii="Arial" w:cs="Arial" w:eastAsia="Arial" w:hAnsi="Arial"/>
          <w:sz w:val="20"/>
          <w:szCs w:val="20"/>
        </w:rPr>
        <w:t xml:space="preserve">Facilitate collaborative discussion to identify systemic patterns, agree strategic goals, and generate commitments for the next quarter.</w:t>
      </w:r>
    </w:p>
    <w:p>
      <w:pPr>
        <w:pStyle w:val="ListParagraph"/>
        <w:numPr>
          <w:ilvl w:val="0"/>
          <w:numId w:val="2"/>
        </w:numPr>
        <w:spacing w:before="40" w:after="40"/>
      </w:pPr>
      <w:r>
        <w:rPr>
          <w:rFonts w:ascii="Arial" w:cs="Arial" w:eastAsia="Arial" w:hAnsi="Arial"/>
          <w:sz w:val="20"/>
          <w:szCs w:val="20"/>
        </w:rPr>
        <w:t xml:space="preserve">Document attendees, performance trends discussed, and specific commitments in the Facility Data Review Report.</w:t>
      </w:r>
    </w:p>
    <w:p>
      <w:pPr>
        <w:pStyle w:val="Heading2"/>
        <w:spacing w:before="240" w:after="120"/>
      </w:pPr>
      <w:r>
        <w:rPr>
          <w:rFonts w:ascii="Arial" w:cs="Arial" w:eastAsia="Arial" w:hAnsi="Arial"/>
          <w:b/>
          <w:bCs/>
          <w:color w:val="2E86C1"/>
          <w:sz w:val="24"/>
          <w:szCs w:val="24"/>
        </w:rPr>
        <w:t xml:space="preserve">3.5 Quarterly Systemic Analysis</w:t>
      </w:r>
    </w:p>
    <w:p>
      <w:pPr>
        <w:spacing w:before="60" w:after="100"/>
        <w:jc w:val="both"/>
      </w:pPr>
      <w:r>
        <w:rPr>
          <w:rFonts w:ascii="Arial" w:cs="Arial" w:eastAsia="Arial" w:hAnsi="Arial"/>
          <w:b w:val="false"/>
          <w:bCs w:val="false"/>
          <w:i w:val="false"/>
          <w:iCs w:val="false"/>
          <w:sz w:val="20"/>
          <w:szCs w:val="20"/>
        </w:rPr>
        <w:t xml:space="preserve">At the end of each quarter, we will produce a Strategic Insights Report that aggregates findings across all audited facilities to identify cross-division patterns (Kampala vs. Wakiso), systemic gaps requiring high-level Tiko intervention, and evidence-based recommendations for programme-wide data quality strengthening.</w:t>
      </w:r>
    </w:p>
    <w:p>
      <w:pPr>
        <w:pStyle w:val="Heading2"/>
        <w:spacing w:before="240" w:after="120"/>
      </w:pPr>
      <w:r>
        <w:rPr>
          <w:rFonts w:ascii="Arial" w:cs="Arial" w:eastAsia="Arial" w:hAnsi="Arial"/>
          <w:b/>
          <w:bCs/>
          <w:color w:val="2E86C1"/>
          <w:sz w:val="24"/>
          <w:szCs w:val="24"/>
        </w:rPr>
        <w:t xml:space="preserve">3.6 Root Cause Analysis Framework</w:t>
      </w:r>
    </w:p>
    <w:p>
      <w:pPr>
        <w:spacing w:before="60" w:after="100"/>
        <w:jc w:val="both"/>
      </w:pPr>
      <w:r>
        <w:rPr>
          <w:rFonts w:ascii="Arial" w:cs="Arial" w:eastAsia="Arial" w:hAnsi="Arial"/>
          <w:b w:val="false"/>
          <w:bCs w:val="false"/>
          <w:i w:val="false"/>
          <w:iCs w:val="false"/>
          <w:sz w:val="20"/>
          <w:szCs w:val="20"/>
        </w:rPr>
        <w:t xml:space="preserve">Discrepancies will be investigated using a structured root cause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c>
          <w:tcPr>
            <w:tcW w:type="dxa" w:w="32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Examples</w:t>
            </w:r>
          </w:p>
        </w:tc>
        <w:tc>
          <w:tcPr>
            <w:tcW w:type="dxa" w:w="32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Investigation Approach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Human Factors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Staff attitude, training gaps, high turnover, competing clinical priorities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Staff interviews, observation of data recording practices, training needs assessment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Systems/Process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Transcription errors, misunderstanding of Tiko app, unclear indicator definitions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Process mapping, error pattern analysis, app usability assessment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Supply/Resources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Stock-outs of HMIS registers/forms, lack of data storage, connectivity issues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Physical inspection, supply chain review, infrastructure assessment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Intentional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 falsification, fabrication, selective reporting</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Cross-verification with multiple sources, patient-level spot checks, pattern analysis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Contextual/External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Donor funding shifts, new MoH policies, disease outbreaks, political changes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Policy review, stakeholder interviews, trend analysis against external events</w:t>
            </w:r>
          </w:p>
        </w:tc>
      </w:tr>
    </w:tbl>
    <w:p>
      <w:pPr>
        <w:pStyle w:val="Heading2"/>
        <w:spacing w:before="240" w:after="120"/>
      </w:pPr>
      <w:r>
        <w:rPr>
          <w:rFonts w:ascii="Arial" w:cs="Arial" w:eastAsia="Arial" w:hAnsi="Arial"/>
          <w:b/>
          <w:bCs/>
          <w:color w:val="2E86C1"/>
          <w:sz w:val="24"/>
          <w:szCs w:val="24"/>
        </w:rPr>
        <w:t xml:space="preserve">3.7 Digital Data Collection Tools</w:t>
      </w:r>
    </w:p>
    <w:p>
      <w:pPr>
        <w:spacing w:before="60" w:after="100"/>
        <w:jc w:val="both"/>
      </w:pPr>
      <w:r>
        <w:rPr>
          <w:rFonts w:ascii="Arial" w:cs="Arial" w:eastAsia="Arial" w:hAnsi="Arial"/>
          <w:b w:val="false"/>
          <w:bCs w:val="false"/>
          <w:i w:val="false"/>
          <w:iCs w:val="false"/>
          <w:sz w:val="20"/>
          <w:szCs w:val="20"/>
        </w:rPr>
        <w:t xml:space="preserve">We will use KoboToolbox as the primary digital data collection platform for on-site RDQA, leveraging its offline capability (critical for facilities with unreliable connectivity), skip logic, real-time verification ratio auto-calculation, GPS auto-capture, and photo documentation features. We will develop a custom KoboToolbox RDQA instrument adapted to Uganda’s HMIS registers with four modules: Facility Identification, Data Verification (with auto-calculated VFs), Systems Assessment (Likert-scale scoring across five functional areas), and Action Planning. DHIS2 desk review will utilise the WHO Data Quality App already available in Uganda’s national DHIS2 instance. We will work with the Tiko technology team to align our data collection with Tiko’s existing platform and reporting systems.</w:t>
      </w:r>
    </w:p>
    <w:p/>
    <w:p>
      <w:pPr>
        <w:spacing w:before="60" w:after="100"/>
        <w:jc w:val="both"/>
      </w:pPr>
      <w:r>
        <w:rPr>
          <w:rFonts w:ascii="Arial" w:cs="Arial" w:eastAsia="Arial" w:hAnsi="Arial"/>
          <w:b w:val="false"/>
          <w:bCs w:val="false"/>
          <w:i w:val="false"/>
          <w:iCs w:val="false"/>
          <w:sz w:val="20"/>
          <w:szCs w:val="20"/>
        </w:rPr>
        <w:t xml:space="preserve">In addition to KoboToolbox, we have developed an interactive RDQA Demo Dashboard that demonstrates our analytical capabilities, including Verification Factor visualisation, systems assessment spider charts, root cause taxonomy analysis, monthly process timelines, and three-way data triangulation flows. This dashboard illustrates the type of outputs and analytical rigour we will bring to the Tiko engagement. </w:t>
      </w:r>
      <w:r>
        <w:rPr>
          <w:b/>
          <w:sz w:val="20"/>
          <w:szCs w:val="20"/>
          <w:rFonts w:ascii="Arial" w:cs="Arial" w:eastAsia="Arial" w:hAnsi="Arial"/>
        </w:rPr>
        <w:t xml:space="preserve">Interactive Demo: </w:t>
      </w:r>
      <w:r>
        <w:rPr>
          <w:b/>
          <w:color w:val="2B6CB0"/>
          <w:u w:val="single"/>
          <w:sz w:val="20"/>
          <w:szCs w:val="20"/>
          <w:rFonts w:ascii="Arial" w:cs="Arial" w:eastAsia="Arial" w:hAnsi="Arial"/>
        </w:rPr>
        <w:t>https://rdqa-demo.vercel.app/</w:t>
      </w:r>
    </w:p>
    <w:p>
      <w:pPr>
        <w:spacing w:before="60" w:after="100"/>
        <w:jc w:val="both"/>
      </w:pPr>
      <w:r>
        <w:t xml:space="preserve">Beyond the demo dashboard, we have built a fully functional </w:t>
      </w:r>
      <w:r>
        <w:rPr>
          <w:b/>
        </w:rPr>
        <w:t>Routine Data Quality Audit Web Tool (RDQA Web Tool)</w:t>
      </w:r>
      <w:r>
        <w:t xml:space="preserve"> using R/Shiny. While the demo dashboard (</w:t>
      </w:r>
      <w:hyperlink r:id="rId10">
        <w:r>
          <w:rPr>
            <w:color w:val="0563C1"/>
            <w:u w:val="single"/>
          </w:rPr>
          <w:t>rdqa-demo.vercel.app</w:t>
        </w:r>
      </w:hyperlink>
      <w:r>
        <w:t xml:space="preserve">) is a static Next.js website showcasing our analytical methodology and sample outputs, the RDQA Web Tool is a live, interactive application where users can load data (demo or live DHIS2), compute Verification Factors in real time, run datimvalidation-style checks, perform M&amp;E systems assessments with spider charts, and generate downloadable HTML and CSV reports. </w:t>
      </w:r>
      <w:r>
        <w:rPr>
          <w:b/>
        </w:rPr>
        <w:t xml:space="preserve">RDQA Web Tool: </w:t>
      </w:r>
      <w:hyperlink r:id="rId9">
        <w:r>
          <w:rPr>
            <w:color w:val="0563C1"/>
            <w:u w:val="single"/>
          </w:rPr>
          <w:t>https://dnfxdz-raymond-wayesu.shinyapps.io/rdqa-web-tool/</w:t>
        </w:r>
      </w:hyperlink>
    </w:p>
    <w:p>
      <w:pPr>
        <w:pStyle w:val="Heading2"/>
        <w:spacing w:before="240" w:after="120"/>
      </w:pPr>
      <w:r>
        <w:rPr>
          <w:rFonts w:ascii="Arial" w:cs="Arial" w:eastAsia="Arial" w:hAnsi="Arial"/>
          <w:b/>
          <w:bCs/>
          <w:color w:val="2E86C1"/>
          <w:sz w:val="24"/>
          <w:szCs w:val="24"/>
        </w:rPr>
        <w:t xml:space="preserve">3.8 Coordination and Engagement Strategy</w:t>
      </w:r>
    </w:p>
    <w:p>
      <w:pPr>
        <w:spacing w:before="60" w:after="100"/>
        <w:jc w:val="both"/>
      </w:pPr>
      <w:r>
        <w:rPr>
          <w:rFonts w:ascii="Arial" w:cs="Arial" w:eastAsia="Arial" w:hAnsi="Arial"/>
          <w:b w:val="false"/>
          <w:bCs w:val="false"/>
          <w:i w:val="false"/>
          <w:iCs w:val="false"/>
          <w:sz w:val="20"/>
          <w:szCs w:val="20"/>
        </w:rPr>
        <w:t xml:space="preserve">Effective coordination with local government authorities is essential to the success and credibility of the RDQA process. Our engagement strategy includes:</w:t>
      </w:r>
    </w:p>
    <w:p>
      <w:pPr>
        <w:pStyle w:val="ListParagraph"/>
        <w:numPr>
          <w:ilvl w:val="0"/>
          <w:numId w:val="2"/>
        </w:numPr>
        <w:spacing w:before="40" w:after="40"/>
      </w:pPr>
      <w:r>
        <w:rPr>
          <w:rFonts w:ascii="Arial" w:cs="Arial" w:eastAsia="Arial" w:hAnsi="Arial"/>
          <w:sz w:val="20"/>
          <w:szCs w:val="20"/>
        </w:rPr>
        <w:t xml:space="preserve">Formal introduction meetings with KCCA Health Department and Wakiso District Health Officer at inception to present the RDQA scope and seek joint participation.</w:t>
      </w:r>
    </w:p>
    <w:p>
      <w:pPr>
        <w:pStyle w:val="ListParagraph"/>
        <w:numPr>
          <w:ilvl w:val="0"/>
          <w:numId w:val="2"/>
        </w:numPr>
        <w:spacing w:before="40" w:after="40"/>
      </w:pPr>
      <w:r>
        <w:rPr>
          <w:rFonts w:ascii="Arial" w:cs="Arial" w:eastAsia="Arial" w:hAnsi="Arial"/>
          <w:sz w:val="20"/>
          <w:szCs w:val="20"/>
        </w:rPr>
        <w:t xml:space="preserve">Invitation of District Biostatisticians and Health Information Officers to participate in facility visits, strengthening government ownership and facilitating DHIS2 data access.</w:t>
      </w:r>
    </w:p>
    <w:p>
      <w:pPr>
        <w:pStyle w:val="ListParagraph"/>
        <w:numPr>
          <w:ilvl w:val="0"/>
          <w:numId w:val="2"/>
        </w:numPr>
        <w:spacing w:before="40" w:after="40"/>
      </w:pPr>
      <w:r>
        <w:rPr>
          <w:rFonts w:ascii="Arial" w:cs="Arial" w:eastAsia="Arial" w:hAnsi="Arial"/>
          <w:sz w:val="20"/>
          <w:szCs w:val="20"/>
        </w:rPr>
        <w:t xml:space="preserve">Monthly coordination calls with Tiko programme team to align facility schedules, share preliminary findings, and adjust audit plans as needed.</w:t>
      </w:r>
    </w:p>
    <w:p>
      <w:pPr>
        <w:pStyle w:val="ListParagraph"/>
        <w:numPr>
          <w:ilvl w:val="0"/>
          <w:numId w:val="2"/>
        </w:numPr>
        <w:spacing w:before="40" w:after="40"/>
      </w:pPr>
      <w:r>
        <w:rPr>
          <w:rFonts w:ascii="Arial" w:cs="Arial" w:eastAsia="Arial" w:hAnsi="Arial"/>
          <w:sz w:val="20"/>
          <w:szCs w:val="20"/>
        </w:rPr>
        <w:t xml:space="preserve">Sharing of summary findings with district health teams (with Tiko’s prior written consent) to strengthen the data quality feedback loop.</w:t>
      </w:r>
    </w:p>
    <w:p>
      <w:r>
        <w:br w:type="page"/>
      </w:r>
    </w:p>
    <w:p>
      <w:pPr>
        <w:pStyle w:val="Heading1"/>
        <w:spacing w:before="300" w:after="200"/>
      </w:pPr>
      <w:r>
        <w:rPr>
          <w:rFonts w:ascii="Arial" w:cs="Arial" w:eastAsia="Arial" w:hAnsi="Arial"/>
          <w:b/>
          <w:bCs/>
          <w:color w:val="1B4F72"/>
          <w:sz w:val="28"/>
          <w:szCs w:val="28"/>
        </w:rPr>
        <w:t xml:space="preserve">4. Work Plan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30"/>
        <w:gridCol w:w="253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Activity</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 Frame</w:t>
            </w:r>
          </w:p>
        </w:tc>
        <w:tc>
          <w:tcPr>
            <w:tcW w:type="dxa" w:w="25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Deliverable</w:t>
            </w:r>
          </w:p>
        </w:tc>
        <w:tc>
          <w:tcPr>
            <w:tcW w:type="dxa" w:w="25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Project Inception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1–13 Mar 2026</w:t>
            </w:r>
          </w:p>
        </w:tc>
        <w:tc>
          <w:tcPr>
            <w:tcW w:type="dxa" w:w="25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Inception Report (.ppt): team structure, work plan, risk matrix, KCCA/Wakiso engagement strategy</w:t>
            </w:r>
          </w:p>
        </w:tc>
        <w:tc>
          <w:tcPr>
            <w:tcW w:type="dxa" w:w="25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Lead Consultant (PM)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Tool Development &amp; Pilot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10–17 Mar 2026</w:t>
            </w:r>
          </w:p>
        </w:tc>
        <w:tc>
          <w:tcPr>
            <w:tcW w:type="dxa" w:w="25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Custom KoboToolbox RDQA instrument; pilot report from 2–3 facilities</w:t>
            </w:r>
          </w:p>
        </w:tc>
        <w:tc>
          <w:tcPr>
            <w:tcW w:type="dxa" w:w="25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Data Analyst (RW) + Lead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Monthly RDQA Cycle 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1–25 Mar 2026</w:t>
            </w:r>
          </w:p>
        </w:tc>
        <w:tc>
          <w:tcPr>
            <w:tcW w:type="dxa" w:w="25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Cleaned dataset, facility reports, action point tracker</w:t>
            </w:r>
          </w:p>
        </w:tc>
        <w:tc>
          <w:tcPr>
            <w:tcW w:type="dxa" w:w="25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team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Monthly RDQAs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By 25th monthly (Apr–Dec)</w:t>
            </w:r>
          </w:p>
        </w:tc>
        <w:tc>
          <w:tcPr>
            <w:tcW w:type="dxa" w:w="25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Monthly cleaned datasets, individual facility reports, action point tracker</w:t>
            </w:r>
          </w:p>
        </w:tc>
        <w:tc>
          <w:tcPr>
            <w:tcW w:type="dxa" w:w="25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team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Post-RDQA Follow-ups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1st week of each month</w:t>
            </w:r>
          </w:p>
        </w:tc>
        <w:tc>
          <w:tcPr>
            <w:tcW w:type="dxa" w:w="25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Follow-up verification of previous action points</w:t>
            </w:r>
          </w:p>
        </w:tc>
        <w:tc>
          <w:tcPr>
            <w:tcW w:type="dxa" w:w="25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Field auditors + Lead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Q1 Data Review Session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Last week of Jun 2026</w:t>
            </w:r>
          </w:p>
        </w:tc>
        <w:tc>
          <w:tcPr>
            <w:tcW w:type="dxa" w:w="25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Facility Data Review Report (Q1)</w:t>
            </w:r>
          </w:p>
        </w:tc>
        <w:tc>
          <w:tcPr>
            <w:tcW w:type="dxa" w:w="25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Lead Consultant + Tiko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Q2 Data Review Session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Last week of Sep 2026</w:t>
            </w:r>
          </w:p>
        </w:tc>
        <w:tc>
          <w:tcPr>
            <w:tcW w:type="dxa" w:w="25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Facility Data Review Report (Q2)</w:t>
            </w:r>
          </w:p>
        </w:tc>
        <w:tc>
          <w:tcPr>
            <w:tcW w:type="dxa" w:w="25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Lead Consultant + Tiko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Q3 Data Review Session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Last week of Dec 2026</w:t>
            </w:r>
          </w:p>
        </w:tc>
        <w:tc>
          <w:tcPr>
            <w:tcW w:type="dxa" w:w="25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Facility Data Review Report (Q3) + Final report</w:t>
            </w:r>
          </w:p>
        </w:tc>
        <w:tc>
          <w:tcPr>
            <w:tcW w:type="dxa" w:w="25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Lead Consultant + Tiko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Quarterly Systemic Analysis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Jun, Sep, Dec 2026</w:t>
            </w:r>
          </w:p>
        </w:tc>
        <w:tc>
          <w:tcPr>
            <w:tcW w:type="dxa" w:w="25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Strategic Insights Report (Kampala vs. Wakiso patterns, systemic recommendations)</w:t>
            </w:r>
          </w:p>
        </w:tc>
        <w:tc>
          <w:tcPr>
            <w:tcW w:type="dxa" w:w="25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Lead + Data Analyst</w:t>
            </w:r>
          </w:p>
        </w:tc>
      </w:tr>
    </w:tbl>
    <w:p>
      <w:pPr>
        <w:spacing w:before="200" w:after="100"/>
        <w:jc w:val="both"/>
      </w:pPr>
      <w:r>
        <w:rPr>
          <w:rFonts w:ascii="Arial" w:cs="Arial" w:eastAsia="Arial" w:hAnsi="Arial"/>
          <w:b/>
          <w:bCs/>
          <w:sz w:val="20"/>
          <w:szCs w:val="20"/>
        </w:rPr>
        <w:t xml:space="preserve">Monthly cycle summary: </w:t>
      </w:r>
      <w:r>
        <w:rPr>
          <w:rFonts w:ascii="Arial" w:cs="Arial" w:eastAsia="Arial" w:hAnsi="Arial"/>
          <w:sz w:val="20"/>
          <w:szCs w:val="20"/>
        </w:rPr>
        <w:t xml:space="preserve">Days 1–3 (preparation and desk review) → Days 4–18 (on-site facility visits and data verification) → Days 19–25 (analysis, reporting, and submission). The exact number of facilities per month will be communicated by Tiko in advance.</w:t>
      </w:r>
    </w:p>
    <w:p>
      <w:r>
        <w:br w:type="page"/>
      </w:r>
    </w:p>
    <w:p>
      <w:pPr>
        <w:pStyle w:val="Heading1"/>
        <w:spacing w:before="300" w:after="200"/>
      </w:pPr>
      <w:r>
        <w:rPr>
          <w:rFonts w:ascii="Arial" w:cs="Arial" w:eastAsia="Arial" w:hAnsi="Arial"/>
          <w:b/>
          <w:bCs/>
          <w:color w:val="1B4F72"/>
          <w:sz w:val="28"/>
          <w:szCs w:val="28"/>
        </w:rPr>
        <w:t xml:space="preserve">5. Team Composition and Management</w:t>
      </w:r>
    </w:p>
    <w:p>
      <w:pPr>
        <w:spacing w:before="60" w:after="100"/>
        <w:jc w:val="both"/>
      </w:pPr>
      <w:r>
        <w:rPr>
          <w:rFonts w:ascii="Calibri" w:hAnsi="Calibri"/>
          <w:sz w:val="22"/>
        </w:rPr>
        <w:t>Our core team comprises two senior professionals with complementary expertise in biostatistics, health data quality assurance, and monitoring and evaluation. Both team members are based in Kampala and have direct experience with Uganda's HMIS/DHIS2 infrastructure, ensuring efficient facility coverage across both districts.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Qualifications</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RDQA Responsibilities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Lead Consultant / Team Leader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Paul Mubiri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rPr>
              <w:t>MSc Biostatistics (Makerere University School of Public Health); 13+ years in health M&amp;E, data quality assurance, and biostatistics; hands-on RDQA experience with PTBi, MGIC/UMB (PEPFAR), and iTECH; proficient in DHIS2, KoboToolbox, STATA, R, REDCap, Power BI, ODK; published researcher with 20+ peer-reviewed publications (Lancet Global Health, BMC, PLOS ONE)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Overall technical leadership; RDQA tool design; KCCA/Wakiso coordination; root cause analysis; quarterly data review facilitation; report authorship; quality assurance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Data Analyst / Biostatistician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Raymond R. Wayesu</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rPr>
              <w:t>MSc Mathematical Statistics (Linköping University, Sweden); BSc Statistics (Makerere University); currently Medical Statistician at UVRI/LSHTM on CEPI immunology project; data quality and integrity experience at Sanyu Africa (BabyGel Study), NSSF, and Iganga-Mayuge HDSS; proficient in R, Python, SAS, STATA, SQL; GCP certified; experience with UBOS national surveys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Digital RDQA instrument development; Verification Factor computation; DHIS2 data extraction and analysis; dashboard and scorecard generation; systems assessment analysis; statistical reporting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rPr>
              <w:t>Field Support (if required)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rPr>
              <w:t>To be mobilised as needed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rPr>
              <w:t>Bachelor's degree in public health, statistics, or related field; 3+ years HMIS experience; familiarity with Uganda MoH registers; based in Kampala/Wakiso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rPr>
              <w:t>On-site register recounting support; data extraction and tallying; photo documentation (to be deployed if facility volume requires additional capacity beyond core team)</w:t>
            </w:r>
          </w:p>
        </w:tc>
      </w:tr>
    </w:tbl>
    <w:p>
      <w:pPr>
        <w:spacing w:before="200" w:after="100"/>
        <w:jc w:val="both"/>
      </w:pPr>
      <w:r>
        <w:t>Team management: Paul Mubiri will serve as the single point of contact with Tiko's programme team. Weekly internal team briefings will ensure consistent tool application and data quality. Raymond Wayesu will provide centralised data management and analysis support, enabling rapid turnaround of facility reports. The two-person core team will deploy together for on-site facility visits, with each member bringing complementary skills in data verification and statistical analysis.</w:t>
      </w:r>
    </w:p>
    <w:p>
      <w:pPr>
        <w:pStyle w:val="Heading2"/>
        <w:spacing w:before="240" w:after="120"/>
      </w:pPr>
      <w:r>
        <w:t>5.1 Field Support and Scalability</w:t>
      </w:r>
    </w:p>
    <w:p>
      <w:pPr>
        <w:spacing w:before="60" w:after="100"/>
        <w:jc w:val="both"/>
      </w:pPr>
      <w:r>
        <w:t>The core two-person team is structured to efficiently cover the monthly RDQA cycle across 5 working days per month each. Should the number of facilities per audit cycle require additional capacity, we will coordinate with Tiko to identify suitable field support staff with experience in HMIS register review and facility-based data verification in Kampala and Wakiso. Any supplementary field personnel would meet the following criteria: a bachelor's degree in public health, statistics, or a related field; at least 3 years of experience working with Uganda's HMIS tools; and familiarity with digital data collection platforms.</w:t>
      </w:r>
    </w:p>
    <w:p>
      <w:r>
        <w:br w:type="page"/>
      </w:r>
    </w:p>
    <w:p>
      <w:pPr>
        <w:pStyle w:val="Heading1"/>
        <w:spacing w:before="300" w:after="200"/>
      </w:pPr>
      <w:r>
        <w:rPr>
          <w:rFonts w:ascii="Arial" w:cs="Arial" w:eastAsia="Arial" w:hAnsi="Arial"/>
          <w:b/>
          <w:bCs/>
          <w:color w:val="1B4F72"/>
          <w:sz w:val="28"/>
          <w:szCs w:val="28"/>
        </w:rPr>
        <w:t xml:space="preserve">6. Quality Assurance Plan</w:t>
      </w:r>
    </w:p>
    <w:p>
      <w:pPr>
        <w:spacing w:before="60" w:after="100"/>
        <w:jc w:val="both"/>
      </w:pPr>
      <w:r>
        <w:rPr>
          <w:rFonts w:ascii="Arial" w:cs="Arial" w:eastAsia="Arial" w:hAnsi="Arial"/>
          <w:b w:val="false"/>
          <w:bCs w:val="false"/>
          <w:i w:val="false"/>
          <w:iCs w:val="false"/>
          <w:sz w:val="20"/>
          <w:szCs w:val="20"/>
        </w:rPr>
        <w:t xml:space="preserve">Data quality is the product we are assessing — and the standard to which we hold our own work. Our quality assurance plan includes:</w:t>
      </w:r>
    </w:p>
    <w:p>
      <w:pPr>
        <w:pStyle w:val="ListParagraph"/>
        <w:numPr>
          <w:ilvl w:val="0"/>
          <w:numId w:val="2"/>
        </w:numPr>
        <w:spacing w:before="40" w:after="40"/>
      </w:pPr>
      <w:r>
        <w:rPr>
          <w:rFonts w:ascii="Arial" w:cs="Arial" w:eastAsia="Arial" w:hAnsi="Arial"/>
          <w:b/>
          <w:bCs/>
          <w:sz w:val="20"/>
          <w:szCs w:val="20"/>
        </w:rPr>
        <w:t xml:space="preserve">Standardised tools: </w:t>
      </w:r>
      <w:r>
        <w:rPr>
          <w:rFonts w:ascii="Arial" w:cs="Arial" w:eastAsia="Arial" w:hAnsi="Arial"/>
          <w:sz w:val="20"/>
          <w:szCs w:val="20"/>
        </w:rPr>
        <w:t xml:space="preserve">All field auditors will use identical KoboToolbox instruments with built-in validation rules (integer constraints, skip logic, mandatory fields) to minimise data entry errors.</w:t>
      </w:r>
    </w:p>
    <w:p>
      <w:pPr>
        <w:pStyle w:val="ListParagraph"/>
        <w:numPr>
          <w:ilvl w:val="0"/>
          <w:numId w:val="2"/>
        </w:numPr>
        <w:spacing w:before="40" w:after="40"/>
      </w:pPr>
      <w:r>
        <w:rPr>
          <w:rFonts w:ascii="Arial" w:cs="Arial" w:eastAsia="Arial" w:hAnsi="Arial"/>
          <w:b/>
          <w:bCs/>
          <w:sz w:val="20"/>
          <w:szCs w:val="20"/>
        </w:rPr>
        <w:t xml:space="preserve">Inter-rater reliability: </w:t>
      </w:r>
      <w:r>
        <w:rPr>
          <w:rFonts w:ascii="Arial" w:cs="Arial" w:eastAsia="Arial" w:hAnsi="Arial"/>
          <w:sz w:val="20"/>
          <w:szCs w:val="20"/>
        </w:rPr>
        <w:t xml:space="preserve">During the pilot phase, two auditors will independently assess the same facility to calibrate consistency. Any discrepancies exceeding 5% will trigger re-training.</w:t>
      </w:r>
    </w:p>
    <w:p>
      <w:pPr>
        <w:pStyle w:val="ListParagraph"/>
        <w:numPr>
          <w:ilvl w:val="0"/>
          <w:numId w:val="2"/>
        </w:numPr>
        <w:spacing w:before="40" w:after="40"/>
      </w:pPr>
      <w:r>
        <w:rPr>
          <w:rFonts w:ascii="Arial" w:cs="Arial" w:eastAsia="Arial" w:hAnsi="Arial"/>
          <w:b/>
          <w:bCs/>
          <w:sz w:val="20"/>
          <w:szCs w:val="20"/>
        </w:rPr>
        <w:t xml:space="preserve">Photographic evidence: </w:t>
      </w:r>
      <w:r>
        <w:rPr>
          <w:rFonts w:ascii="Arial" w:cs="Arial" w:eastAsia="Arial" w:hAnsi="Arial"/>
          <w:sz w:val="20"/>
          <w:szCs w:val="20"/>
        </w:rPr>
        <w:t xml:space="preserve">All register recounts will be supported by photographs of the relevant register pages, forced-capture (no gallery selection) via KoboCollect, providing an auditable evidence trail.</w:t>
      </w:r>
    </w:p>
    <w:p>
      <w:pPr>
        <w:pStyle w:val="ListParagraph"/>
        <w:numPr>
          <w:ilvl w:val="0"/>
          <w:numId w:val="2"/>
        </w:numPr>
        <w:spacing w:before="40" w:after="40"/>
      </w:pPr>
      <w:r>
        <w:rPr>
          <w:rFonts w:ascii="Arial" w:cs="Arial" w:eastAsia="Arial" w:hAnsi="Arial"/>
          <w:b/>
          <w:bCs/>
          <w:sz w:val="20"/>
          <w:szCs w:val="20"/>
        </w:rPr>
        <w:t xml:space="preserve">Audit metadata logging: </w:t>
      </w:r>
      <w:r>
        <w:rPr>
          <w:rFonts w:ascii="Arial" w:cs="Arial" w:eastAsia="Arial" w:hAnsi="Arial"/>
          <w:sz w:val="20"/>
          <w:szCs w:val="20"/>
        </w:rPr>
        <w:t xml:space="preserve">KoboToolbox audit logging will track form start/end times, GPS coordinates, and enumerator identity, enabling supervision of field team performance.</w:t>
      </w:r>
    </w:p>
    <w:p>
      <w:pPr>
        <w:pStyle w:val="ListParagraph"/>
        <w:numPr>
          <w:ilvl w:val="0"/>
          <w:numId w:val="2"/>
        </w:numPr>
        <w:spacing w:before="40" w:after="40"/>
      </w:pPr>
      <w:r>
        <w:rPr>
          <w:rFonts w:ascii="Arial" w:cs="Arial" w:eastAsia="Arial" w:hAnsi="Arial"/>
          <w:b/>
          <w:bCs/>
          <w:sz w:val="20"/>
          <w:szCs w:val="20"/>
        </w:rPr>
        <w:t xml:space="preserve">Same-day data review: </w:t>
      </w:r>
      <w:r>
        <w:rPr>
          <w:rFonts w:ascii="Arial" w:cs="Arial" w:eastAsia="Arial" w:hAnsi="Arial"/>
          <w:sz w:val="20"/>
          <w:szCs w:val="20"/>
        </w:rPr>
        <w:t xml:space="preserve">The Data Analyst will review submitted KoboToolbox records daily during fieldwork, flagging incomplete or inconsistent entries for same-day correction.</w:t>
      </w:r>
    </w:p>
    <w:p>
      <w:pPr>
        <w:pStyle w:val="ListParagraph"/>
        <w:numPr>
          <w:ilvl w:val="0"/>
          <w:numId w:val="2"/>
        </w:numPr>
        <w:spacing w:before="40" w:after="40"/>
      </w:pPr>
      <w:r>
        <w:rPr>
          <w:rFonts w:ascii="Arial" w:cs="Arial" w:eastAsia="Arial" w:hAnsi="Arial"/>
          <w:b/>
          <w:bCs/>
          <w:sz w:val="20"/>
          <w:szCs w:val="20"/>
        </w:rPr>
        <w:t xml:space="preserve">Independent verification: </w:t>
      </w:r>
      <w:r>
        <w:rPr>
          <w:rFonts w:ascii="Arial" w:cs="Arial" w:eastAsia="Arial" w:hAnsi="Arial"/>
          <w:sz w:val="20"/>
          <w:szCs w:val="20"/>
        </w:rPr>
        <w:t xml:space="preserve">The Lead Consultant will conduct spot-check re-verification at a random 10% of audited facilities each month.</w:t>
      </w:r>
    </w:p>
    <w:p>
      <w:pPr>
        <w:pStyle w:val="Heading1"/>
        <w:spacing w:before="300" w:after="200"/>
      </w:pPr>
      <w:r>
        <w:rPr>
          <w:rFonts w:ascii="Arial" w:cs="Arial" w:eastAsia="Arial" w:hAnsi="Arial"/>
          <w:b/>
          <w:bCs/>
          <w:color w:val="1B4F72"/>
          <w:sz w:val="28"/>
          <w:szCs w:val="28"/>
        </w:rPr>
        <w:t xml:space="preserve">7.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760"/>
        <w:gridCol w:w="200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Deliverable</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Format</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Frequency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Inception Report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Team structure, work plan, risk matrix, KCCA/Wakiso engagement strategy, adapted RDQA tools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PowerPoint slide deck + KoboToolbox XLSForm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Once (by 13 Mar)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Final Cleaned Dataset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Complete verified data using Tiko RDQA tools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Excel/CSV (Tiko format)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Monthly (by 25th)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Individual Facility Reports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Variances, root causes, and recommended corrective actions per facility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Word/PDF with VF tables and spider charts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Monthly (by 25th)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Action Point Tracker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Status of all action points: Closed, Pending, or Overdue with evidence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Excel tracker with evidence links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Monthly (by 25th)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Facility Data Review Report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Summary of deep-dive sessions: attendees, trends, commitments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Word/PDF + presentation slides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Quarterly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Strategic Insights Report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Cross-division patterns (Kampala vs. Wakiso), systemic gaps, recommendations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Word/PDF with data visualisations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Quarterly</w:t>
            </w:r>
          </w:p>
        </w:tc>
      </w:tr>
    </w:tbl>
    <w:p>
      <w:r>
        <w:br w:type="page"/>
      </w:r>
    </w:p>
    <w:p>
      <w:pPr>
        <w:pStyle w:val="Heading1"/>
        <w:spacing w:before="300" w:after="200"/>
      </w:pPr>
      <w:r>
        <w:rPr>
          <w:rFonts w:ascii="Arial" w:cs="Arial" w:eastAsia="Arial" w:hAnsi="Arial"/>
          <w:b/>
          <w:bCs/>
          <w:color w:val="1B4F72"/>
          <w:sz w:val="28"/>
          <w:szCs w:val="28"/>
        </w:rPr>
        <w:t xml:space="preserve">8. Past Performance and References</w:t>
      </w:r>
    </w:p>
    <w:p>
      <w:pPr>
        <w:spacing w:before="60" w:after="100"/>
        <w:jc w:val="both"/>
      </w:pPr>
      <w:r>
        <w:rPr>
          <w:rFonts w:ascii="Arial" w:cs="Arial" w:eastAsia="Arial" w:hAnsi="Arial"/>
          <w:b w:val="false"/>
          <w:bCs w:val="false"/>
          <w:i w:val="false"/>
          <w:iCs w:val="false"/>
          <w:sz w:val="20"/>
          <w:szCs w:val="20"/>
        </w:rPr>
        <w:t xml:space="preserve">Our team members have delivered data quality assessments and health data management services for the following organisations. References are available upon request:</w:t>
      </w:r>
    </w:p>
    <w:p>
      <w:pPr>
        <w:pStyle w:val="ListParagraph"/>
        <w:numPr>
          <w:ilvl w:val="0"/>
          <w:numId w:val="3"/>
        </w:numPr>
        <w:spacing w:before="40" w:after="40"/>
      </w:pPr>
      <w:r>
        <w:t>Preterm Birth Initiative (PTBi), Makerere University School of Public Health (2016–2019): Paul Mubiri served as Biostatistician conducting routine data quality assessments, data quality assurance, and health facility assessments across implementation science study sites in Eastern Uganda. Responsibilities included data verification from primary registers, statistical analysis using STATA and R, REDCap database management, and presentation of findings to project stakeholders and the Data Safety Monitoring Board.</w:t>
      </w:r>
    </w:p>
    <w:p>
      <w:pPr>
        <w:pStyle w:val="ListParagraph"/>
        <w:numPr>
          <w:ilvl w:val="0"/>
          <w:numId w:val="3"/>
        </w:numPr>
        <w:spacing w:before="40" w:after="40"/>
      </w:pPr>
      <w:r>
        <w:t>Maryland Global Initiative Corporation / University of Maryland Baltimore (MGIC/UMB) (2022–2023): Paul Mubiri supported project data analysis, data quality assessment and improvement, tool design, Power BI visualisation and dashboard development, and capacity building with the Strategic Information and M&amp;E team under the PEPFAR consortium. This included regular data quality audits across PEPFAR-supported health facilities.</w:t>
      </w:r>
    </w:p>
    <w:p>
      <w:pPr>
        <w:pStyle w:val="ListParagraph"/>
        <w:numPr>
          <w:ilvl w:val="0"/>
          <w:numId w:val="3"/>
        </w:numPr>
        <w:spacing w:before="40" w:after="40"/>
      </w:pPr>
      <w:r>
        <w:rPr>
          <w:rFonts w:ascii="Arial" w:cs="Arial" w:eastAsia="Arial" w:hAnsi="Arial"/>
          <w:b/>
          <w:bCs/>
          <w:sz w:val="20"/>
          <w:szCs w:val="20"/>
        </w:rPr>
        <w:t xml:space="preserve">Makerere University Hospital – iTECH Project (2021–2024): </w:t>
      </w:r>
      <w:r>
        <w:rPr>
          <w:rFonts w:ascii="Arial" w:cs="Arial" w:eastAsia="Arial" w:hAnsi="Arial"/>
          <w:sz w:val="20"/>
          <w:szCs w:val="20"/>
        </w:rPr>
        <w:t xml:space="preserve">Both Paul Mubiri and Raymond Wayesu contributed to data quality assessment, statistical analysis, and prediction modelling for this maternal health research project, with Paul leading protocol and SOP development.</w:t>
      </w:r>
    </w:p>
    <w:p>
      <w:pPr>
        <w:pStyle w:val="ListParagraph"/>
        <w:numPr>
          <w:ilvl w:val="0"/>
          <w:numId w:val="3"/>
        </w:numPr>
        <w:spacing w:before="40" w:after="40"/>
      </w:pPr>
      <w:r>
        <w:rPr>
          <w:rFonts w:ascii="Arial" w:cs="Arial" w:eastAsia="Arial" w:hAnsi="Arial"/>
          <w:b/>
          <w:bCs/>
          <w:sz w:val="20"/>
          <w:szCs w:val="20"/>
        </w:rPr>
        <w:t xml:space="preserve">Sanyu Africa Research Institute – BabyGel Study (2023–2024): </w:t>
      </w:r>
      <w:r>
        <w:rPr>
          <w:rFonts w:ascii="Arial" w:cs="Arial" w:eastAsia="Arial" w:hAnsi="Arial"/>
          <w:sz w:val="20"/>
          <w:szCs w:val="20"/>
        </w:rPr>
        <w:t xml:space="preserve">Raymond Wayesu served as Hub Data Supervisor for a cluster-controlled trial across 72 villages in Eastern Uganda, ensuring quality data collection by hub data collectors and accurate entry into electronic data capture systems.</w:t>
      </w:r>
    </w:p>
    <w:p>
      <w:pPr>
        <w:pStyle w:val="ListParagraph"/>
        <w:numPr>
          <w:ilvl w:val="0"/>
          <w:numId w:val="3"/>
        </w:numPr>
        <w:spacing w:before="40" w:after="40"/>
      </w:pPr>
      <w:r>
        <w:t>Uganda Virus Research Institute / London School of Hygiene &amp; Tropical Medicine (UVRI/LSHTM) – CEPI Project (2024–present): Raymond Wayesu serves as Medical Statistician applying advanced statistical methods to immunology and vaccine studies. Responsibilities include research design, sample size estimation, statistical modelling in R and SAS, data quality assurance of laboratory datasets, and preparation of manuscripts for peer-reviewed publication.</w:t>
      </w:r>
    </w:p>
    <w:p>
      <w:pPr>
        <w:spacing w:before="200" w:after="100"/>
        <w:jc w:val="both"/>
      </w:pPr>
      <w:r>
        <w:rPr>
          <w:rFonts w:ascii="Arial" w:cs="Arial" w:eastAsia="Arial" w:hAnsi="Arial"/>
          <w:b/>
          <w:bCs/>
          <w:sz w:val="20"/>
          <w:szCs w:val="20"/>
        </w:rPr>
        <w:t xml:space="preserve">Combined publication record: </w:t>
      </w:r>
      <w:r>
        <w:rPr>
          <w:rFonts w:ascii="Arial" w:cs="Arial" w:eastAsia="Arial" w:hAnsi="Arial"/>
          <w:sz w:val="20"/>
          <w:szCs w:val="20"/>
        </w:rPr>
        <w:t xml:space="preserve">The team has co-authored over 25 peer-reviewed publications in leading journals including The Lancet Global Health, BMC Health Services Research, BMC Public Health, PLOS ONE, and Human Resources for Health.</w:t>
      </w:r>
    </w:p>
    <w:p>
      <w:pPr>
        <w:pStyle w:val="Heading1"/>
        <w:spacing w:before="300" w:after="200"/>
      </w:pPr>
      <w:r>
        <w:rPr>
          <w:rFonts w:ascii="Arial" w:cs="Arial" w:eastAsia="Arial" w:hAnsi="Arial"/>
          <w:b/>
          <w:bCs/>
          <w:color w:val="1B4F72"/>
          <w:sz w:val="28"/>
          <w:szCs w:val="28"/>
        </w:rPr>
        <w:t xml:space="preserve">9. Budget Framework</w:t>
      </w:r>
    </w:p>
    <w:p>
      <w:pPr>
        <w:spacing w:before="60" w:after="100"/>
        <w:jc w:val="both"/>
      </w:pPr>
      <w:r>
        <w:t>The financial proposal totals USD 11,650 for the 10-month assignment (March–December 2026). The budget is structured across four categories: Professional Fees (lead consultant and data analyst at daily rates), Transport and Logistics, Data Collection Tools (KoboToolbox, printing, mobile data), and Communication. A detailed breakdown is provided in the accompanying budget spreadsheet.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Cost Category</w:t>
            </w:r>
          </w:p>
        </w:tc>
        <w:tc>
          <w:tcPr>
            <w:tcW w:type="dxa" w:w="3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3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Basis of Estimation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rPr>
              <w:t>Professional Fees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rPr>
              <w:t>Lead Consultant (Paul Mubiri) and Data Analyst (Raymond Wayesu)</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rPr>
              <w:t>Daily rates × 5 working days/month × 10 months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rPr>
              <w:t>Transport and Logistics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rPr>
              <w:t>Team will utilise existing transport resources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rPr>
              <w:t>Included in professional fees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rPr>
              <w:t>Data Collection Tools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rPr>
              <w:t>KoboToolbox subscription, printing of RDQA forms and checklists, mobile data bundles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rPr>
              <w:t>Lump sum and monthly allocations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rPr>
              <w:t>Communication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rPr>
              <w:t>Airtime, internet, team coordination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sz w:val="18"/>
              </w:rPr>
              <w:t>Monthly lump sum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p>
        </w:tc>
      </w:tr>
    </w:tbl>
    <w:p>
      <w:pPr>
        <w:spacing w:before="200" w:after="100"/>
        <w:jc w:val="both"/>
      </w:pPr>
      <w:r>
        <w:t>Note: Final costing will be calibrated to the confirmed number of facilities per month, as communicated by Tiko in advance of each audit cycle. The budget is structured to offer value for money by leveraging existing digital tools (KoboToolbox, DHIS2 WHO DQ App), deploying locally-based team members (eliminating accommodation and transport overhead), and maximising efficiency through a lean two-person core team with deep technical expertise.</w:t>
      </w:r>
    </w:p>
    <w:p>
      <w:pPr>
        <w:spacing w:before="400"/>
      </w:pPr>
    </w:p>
    <w:p>
      <w:pPr>
        <w:spacing w:before="60" w:after="100"/>
        <w:jc w:val="center"/>
      </w:pPr>
      <w:r>
        <w:rPr>
          <w:rFonts w:ascii="Arial" w:cs="Arial" w:eastAsia="Arial" w:hAnsi="Arial"/>
          <w:color w:val="CCCCCC"/>
          <w:sz w:val="20"/>
          <w:szCs w:val="20"/>
        </w:rPr>
        <w:t xml:space="preserve">_______________________________________________</w:t>
      </w:r>
    </w:p>
    <w:p>
      <w:pPr>
        <w:spacing w:before="60" w:after="100"/>
        <w:jc w:val="center"/>
      </w:pPr>
      <w:r>
        <w:rPr>
          <w:rFonts w:ascii="Arial" w:cs="Arial" w:eastAsia="Arial" w:hAnsi="Arial"/>
          <w:i/>
          <w:iCs/>
          <w:color w:val="888888"/>
          <w:sz w:val="20"/>
          <w:szCs w:val="20"/>
        </w:rPr>
        <w:t xml:space="preserve">End of Technical Proposal</w:t>
      </w:r>
    </w:p>
    <w:p>
      <w:pPr>
        <w:spacing w:before="60" w:after="100"/>
        <w:jc w:val="center"/>
      </w:pPr>
      <w:r>
        <w:rPr>
          <w:rFonts w:ascii="Arial" w:cs="Arial" w:eastAsia="Arial" w:hAnsi="Arial"/>
          <w:i/>
          <w:iCs/>
          <w:color w:val="888888"/>
          <w:sz w:val="20"/>
          <w:szCs w:val="20"/>
        </w:rPr>
        <w:t xml:space="preserve">Interactive RDQA Demo: </w:t>
      </w:r>
      <w:r>
        <w:rPr>
          <w:color w:val="2B6CB0"/>
          <w:u w:val="single"/>
          <w:sz w:val="20"/>
          <w:szCs w:val="20"/>
          <w:rFonts w:ascii="Arial" w:cs="Arial" w:eastAsia="Arial" w:hAnsi="Arial"/>
        </w:rPr>
        <w:t>https://rdqa-demo.vercel.app/</w:t>
      </w:r>
    </w:p>
    <w:p>
      <w:pPr>
        <w:spacing w:before="60" w:after="100"/>
        <w:jc w:val="center"/>
      </w:pPr>
      <w:r>
        <w:rPr>
          <w:b/>
        </w:rPr>
        <w:t xml:space="preserve">RDQA Web Tool (R/Shiny): </w:t>
      </w:r>
      <w:hyperlink r:id="rId9">
        <w:r>
          <w:rPr>
            <w:color w:val="0563C1"/>
            <w:u w:val="single"/>
          </w:rPr>
          <w:t>https://dnfxdz-raymond-wayesu.shinyapps.io/rdqa-web-tool/</w:t>
        </w:r>
      </w:hyperlink>
    </w:p>
    <w:p>
      <w:pPr>
        <w:spacing w:before="60" w:after="100"/>
        <w:jc w:val="center"/>
      </w:pPr>
      <w:r>
        <w:rPr>
          <w:rFonts w:ascii="Arial" w:cs="Arial" w:eastAsia="Arial" w:hAnsi="Arial"/>
          <w:i/>
          <w:iCs/>
          <w:color w:val="888888"/>
          <w:sz w:val="20"/>
          <w:szCs w:val="20"/>
        </w:rPr>
        <w:t xml:space="preserve">Paul Mubiri &amp; Raymond R. Wayesu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Tiko RDQA Technical Proposal – Mubiri &amp; Wayesu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4F72"/>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86C1"/>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nfxdz-raymond-wayesu.shinyapps.io/rdqa-web-tool/" TargetMode="External"/><Relationship Id="rId10" Type="http://schemas.openxmlformats.org/officeDocument/2006/relationships/hyperlink" Target="https://rdqa-demo.vercel.app/"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2026-02-11T06:08:04.119Z</dcterms:created>
  <dcterms:modified xsi:type="dcterms:W3CDTF">2026-02-11T06:08:04.120Z</dcterms:modified>
</cp:coreProperties>
</file>

<file path=docProps/custom.xml><?xml version="1.0" encoding="utf-8"?>
<Properties xmlns="http://schemas.openxmlformats.org/officeDocument/2006/custom-properties" xmlns:vt="http://schemas.openxmlformats.org/officeDocument/2006/docPropsVTypes"/>
</file>