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rdqa-demo-website-architecture"/>
    <w:p>
      <w:pPr>
        <w:pStyle w:val="Heading1"/>
      </w:pPr>
      <w:r>
        <w:t xml:space="preserve">RDQA Demo Website Architecture</w:t>
      </w:r>
    </w:p>
    <w:bookmarkStart w:id="9" w:name="mubiri-wayesu-rdqa-consultancy-website"/>
    <w:p>
      <w:pPr>
        <w:pStyle w:val="Heading2"/>
      </w:pPr>
      <w:r>
        <w:t xml:space="preserve">Mubiri &amp; Wayesu — RDQA Consultancy Website</w:t>
      </w:r>
    </w:p>
    <w:p>
      <w:pPr>
        <w:pStyle w:val="FirstParagraph"/>
      </w:pPr>
      <w:r>
        <w:rPr>
          <w:b/>
          <w:bCs/>
        </w:rPr>
        <w:t xml:space="preserve">Consultancy:</w:t>
      </w:r>
      <w:r>
        <w:t xml:space="preserve"> </w:t>
      </w:r>
      <w:r>
        <w:t xml:space="preserve">Independent Routine Data Quality Audit (RDQA) Services for Health Programmes in Uganda</w:t>
      </w:r>
      <w:r>
        <w:t xml:space="preserve"> </w:t>
      </w:r>
      <w:r>
        <w:rPr>
          <w:b/>
          <w:bCs/>
        </w:rPr>
        <w:t xml:space="preserve">Consultants:</w:t>
      </w:r>
      <w:r>
        <w:t xml:space="preserve"> </w:t>
      </w:r>
      <w:r>
        <w:t xml:space="preserve">Paul Mubiri &amp; Raymond R. Wayesu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February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Professional consultancy website to position Mubiri &amp; Wayesu as established, independent RDQA consultants serving multiple health programmes, NGOs, and government partners in Uganda. Follows the</w:t>
      </w:r>
      <w:r>
        <w:t xml:space="preserve"> </w:t>
      </w:r>
      <w:r>
        <w:t xml:space="preserve">“demo-sell-build”</w:t>
      </w:r>
      <w:r>
        <w:t xml:space="preserve"> </w:t>
      </w:r>
      <w:r>
        <w:t xml:space="preserve">approach with anonymised, client-agnostic simulated data.</w:t>
      </w:r>
    </w:p>
    <w:p>
      <w:r>
        <w:pict>
          <v:rect style="width:0;height:1.5pt" o:hralign="center" o:hrstd="t" o:hr="t"/>
        </w:pict>
      </w:r>
    </w:p>
    <w:bookmarkEnd w:id="9"/>
    <w:bookmarkStart w:id="10" w:name="strategic-intent-demo-sell-build"/>
    <w:p>
      <w:pPr>
        <w:pStyle w:val="Heading2"/>
      </w:pPr>
      <w:r>
        <w:t xml:space="preserve">1. Strategic Intent (Demo-Sell-Build)</w:t>
      </w:r>
    </w:p>
    <w:p>
      <w:pPr>
        <w:pStyle w:val="FirstParagraph"/>
      </w:pPr>
      <w:r>
        <w:t xml:space="preserve">This website positions the consultancy as a</w:t>
      </w:r>
      <w:r>
        <w:t xml:space="preserve"> </w:t>
      </w:r>
      <w:r>
        <w:rPr>
          <w:b/>
          <w:bCs/>
        </w:rPr>
        <w:t xml:space="preserve">going concern</w:t>
      </w:r>
      <w:r>
        <w:t xml:space="preserve"> </w:t>
      </w:r>
      <w:r>
        <w:t xml:space="preserve">— an established practice, not a one-off bid. It is designed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Earn Attention</w:t>
      </w:r>
      <w:r>
        <w:t xml:space="preserve"> </w:t>
      </w:r>
      <w:r>
        <w:t xml:space="preserve">— A bold unique value proposition targeting any health programme, NGO, or government partner needing independent data quality assurance in Uganda.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Earn Trust</w:t>
      </w:r>
      <w:r>
        <w:t xml:space="preserve"> </w:t>
      </w:r>
      <w:r>
        <w:t xml:space="preserve">— Interactive, media-quality simulated visualisations demonstrating what RDQA deliverables look like in practice (Verification Factor dashboards, spider charts, facility scorecards, root cause breakdowns). All data is anonymised (</w:t>
      </w:r>
      <w:r>
        <w:t xml:space="preserve">“Facility A1”</w:t>
      </w:r>
      <w:r>
        <w:t xml:space="preserve">,</w:t>
      </w:r>
      <w:r>
        <w:t xml:space="preserve"> </w:t>
      </w:r>
      <w:r>
        <w:t xml:space="preserve">“District A”</w:t>
      </w:r>
      <w:r>
        <w:t xml:space="preserve">) to avoid appearing tailored to any single client.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Showcase Track Record</w:t>
      </w:r>
      <w:r>
        <w:t xml:space="preserve"> </w:t>
      </w:r>
      <w:r>
        <w:t xml:space="preserve">— Past performance section highlighting real engagements (PTBi, MGIC/PEPFAR, iTECH, Sanyu Africa, UVRI) with a</w:t>
      </w:r>
      <w:r>
        <w:t xml:space="preserve"> </w:t>
      </w:r>
      <w:r>
        <w:t xml:space="preserve">“Your Programme Here”</w:t>
      </w:r>
      <w:r>
        <w:t xml:space="preserve"> </w:t>
      </w:r>
      <w:r>
        <w:t xml:space="preserve">invitation to new clients.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Drive Action</w:t>
      </w:r>
      <w:r>
        <w:t xml:space="preserve"> </w:t>
      </w:r>
      <w:r>
        <w:t xml:space="preserve">— Clear call-to-action for prospective clients to engage the consultancy team, with a pre-filled email template.</w:t>
      </w:r>
    </w:p>
    <w:p>
      <w:pPr>
        <w:pStyle w:val="BlockText"/>
      </w:pPr>
      <w:r>
        <w:rPr>
          <w:i/>
          <w:iCs/>
        </w:rPr>
        <w:t xml:space="preserve">“If you can sell the demo, why even build the product?”</w:t>
      </w:r>
      <w:r>
        <w:t xml:space="preserve"> </w:t>
      </w:r>
      <w:r>
        <w:t xml:space="preserve">— Ash Maurya, Demo-Sell-Build Framework</w:t>
      </w:r>
    </w:p>
    <w:p>
      <w:r>
        <w:pict>
          <v:rect style="width:0;height:1.5pt" o:hralign="center" o:hrstd="t" o:hr="t"/>
        </w:pict>
      </w:r>
    </w:p>
    <w:bookmarkEnd w:id="10"/>
    <w:bookmarkStart w:id="11" w:name="technology-stack"/>
    <w:p>
      <w:pPr>
        <w:pStyle w:val="Heading2"/>
      </w:pPr>
      <w:r>
        <w:t xml:space="preserve">2.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Vanilla HTML5 + CSS3 + ES Modules</w:t>
            </w:r>
          </w:p>
        </w:tc>
        <w:tc>
          <w:tcPr/>
          <w:p>
            <w:pPr>
              <w:pStyle w:val="Compact"/>
            </w:pPr>
            <w:r>
              <w:t xml:space="preserve">Zero-dependency, fast, Vercel-ready static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Visualisations</w:t>
            </w:r>
          </w:p>
        </w:tc>
        <w:tc>
          <w:tcPr/>
          <w:p>
            <w:pPr>
              <w:pStyle w:val="Compact"/>
            </w:pPr>
            <w:r>
              <w:t xml:space="preserve">D3.js v7</w:t>
            </w:r>
          </w:p>
        </w:tc>
        <w:tc>
          <w:tcPr/>
          <w:p>
            <w:pPr>
              <w:pStyle w:val="Compact"/>
            </w:pPr>
            <w:r>
              <w:t xml:space="preserve">Verification Factor gauges, bar charts, spider/radar charts, Sankey diagrams, geographic heatmaps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Animations</w:t>
            </w:r>
          </w:p>
        </w:tc>
        <w:tc>
          <w:tcPr/>
          <w:p>
            <w:pPr>
              <w:pStyle w:val="Compact"/>
            </w:pPr>
            <w:r>
              <w:t xml:space="preserve">GSAP (GreenSock) v3</w:t>
            </w:r>
          </w:p>
        </w:tc>
        <w:tc>
          <w:tcPr/>
          <w:p>
            <w:pPr>
              <w:pStyle w:val="Compact"/>
            </w:pPr>
            <w:r>
              <w:t xml:space="preserve">Scroll-triggered animations, number counters, section reveals, parallax effects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Styling</w:t>
            </w:r>
          </w:p>
        </w:tc>
        <w:tc>
          <w:tcPr/>
          <w:p>
            <w:pPr>
              <w:pStyle w:val="Compact"/>
            </w:pPr>
            <w:r>
              <w:t xml:space="preserve">Modern CSS (Grid, Flexbox, Custom Properties,</w:t>
            </w:r>
            <w:r>
              <w:t xml:space="preserve"> </w:t>
            </w:r>
            <w:r>
              <w:rPr>
                <w:rStyle w:val="VerbatimChar"/>
              </w:rPr>
              <w:t xml:space="preserve">@media prefers-color-scheme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Professional responsive layout with dark/light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ColorBrewer 2.0 colorblind-safe palettes</w:t>
            </w:r>
          </w:p>
        </w:tc>
        <w:tc>
          <w:tcPr/>
          <w:p>
            <w:pPr>
              <w:pStyle w:val="Compact"/>
            </w:pPr>
            <w:r>
              <w:t xml:space="preserve">All visualisations use 8-class qualitative palette safe for deuteranopia, protanopia, and tritanopia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Icons</w:t>
            </w:r>
          </w:p>
        </w:tc>
        <w:tc>
          <w:tcPr/>
          <w:p>
            <w:pPr>
              <w:pStyle w:val="Compact"/>
            </w:pPr>
            <w:r>
              <w:t xml:space="preserve">Inline SVG</w:t>
            </w:r>
          </w:p>
        </w:tc>
        <w:tc>
          <w:tcPr/>
          <w:p>
            <w:pPr>
              <w:pStyle w:val="Compact"/>
            </w:pPr>
            <w:r>
              <w:t xml:space="preserve">No external icon 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Fonts</w:t>
            </w:r>
          </w:p>
        </w:tc>
        <w:tc>
          <w:tcPr/>
          <w:p>
            <w:pPr>
              <w:pStyle w:val="Compact"/>
            </w:pPr>
            <w:r>
              <w:t xml:space="preserve">System font stack + Google Fonts (Inter, Source Serif Pro)</w:t>
            </w:r>
          </w:p>
        </w:tc>
        <w:tc>
          <w:tcPr/>
          <w:p>
            <w:pPr>
              <w:pStyle w:val="Compact"/>
            </w:pPr>
            <w:r>
              <w:t xml:space="preserve">Professional typography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Vercel (Static)</w:t>
            </w:r>
          </w:p>
        </w:tc>
        <w:tc>
          <w:tcPr/>
          <w:p>
            <w:pPr>
              <w:pStyle w:val="Compact"/>
            </w:pPr>
            <w:r>
              <w:t xml:space="preserve">Zero-config static deployment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olour-system-colorblind-safe-design"/>
    <w:p>
      <w:pPr>
        <w:pStyle w:val="Heading2"/>
      </w:pPr>
      <w:r>
        <w:t xml:space="preserve">3. Colour System — Colorblind-Safe Design</w:t>
      </w:r>
    </w:p>
    <w:p>
      <w:pPr>
        <w:pStyle w:val="FirstParagraph"/>
      </w:pPr>
      <w:r>
        <w:t xml:space="preserve">All visualisations use the</w:t>
      </w:r>
      <w:r>
        <w:t xml:space="preserve"> </w:t>
      </w:r>
      <w:r>
        <w:rPr>
          <w:b/>
          <w:bCs/>
        </w:rPr>
        <w:t xml:space="preserve">ColorBrewer</w:t>
      </w:r>
      <w:r>
        <w:rPr>
          <w:b/>
          <w:bCs/>
        </w:rPr>
        <w:t xml:space="preserve"> </w:t>
      </w:r>
      <w:r>
        <w:rPr>
          <w:b/>
          <w:bCs/>
        </w:rPr>
        <w:t xml:space="preserve">“Set2”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b/>
          <w:bCs/>
        </w:rPr>
        <w:t xml:space="preserve">“Dark2”</w:t>
      </w:r>
      <w:r>
        <w:t xml:space="preserve"> </w:t>
      </w:r>
      <w:r>
        <w:t xml:space="preserve">qualitative palette, which is safe for all three major types of colour vision deficiency: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--cb-teal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#66C2A5</w:t>
            </w:r>
          </w:p>
        </w:tc>
        <w:tc>
          <w:tcPr/>
          <w:p>
            <w:pPr>
              <w:pStyle w:val="Compact"/>
            </w:pPr>
            <w:r>
              <w:t xml:space="preserve">Acceptable VF range (90-110%)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--cb-orange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#FC8D62</w:t>
            </w:r>
          </w:p>
        </w:tc>
        <w:tc>
          <w:tcPr/>
          <w:p>
            <w:pPr>
              <w:pStyle w:val="Compact"/>
            </w:pPr>
            <w:r>
              <w:t xml:space="preserve">Over-reporting flag (&lt;90% VF)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--cb-purple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#8DA0CB</w:t>
            </w:r>
          </w:p>
        </w:tc>
        <w:tc>
          <w:tcPr/>
          <w:p>
            <w:pPr>
              <w:pStyle w:val="Compact"/>
            </w:pPr>
            <w:r>
              <w:t xml:space="preserve">Under-reporting flag (&gt;110% VF)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--cb-pink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#E78AC3</w:t>
            </w:r>
          </w:p>
        </w:tc>
        <w:tc>
          <w:tcPr/>
          <w:p>
            <w:pPr>
              <w:pStyle w:val="Compact"/>
            </w:pPr>
            <w:r>
              <w:t xml:space="preserve">Root Cause: Human Factors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--cb-green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#A6D854</w:t>
            </w:r>
          </w:p>
        </w:tc>
        <w:tc>
          <w:tcPr/>
          <w:p>
            <w:pPr>
              <w:pStyle w:val="Compact"/>
            </w:pPr>
            <w:r>
              <w:t xml:space="preserve">Root Cause: Systems/Process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--cb-yellow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#FFD92F</w:t>
            </w:r>
          </w:p>
        </w:tc>
        <w:tc>
          <w:tcPr/>
          <w:p>
            <w:pPr>
              <w:pStyle w:val="Compact"/>
            </w:pPr>
            <w:r>
              <w:t xml:space="preserve">Root Cause: Supply/Resources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--cb-brown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#E5C494</w:t>
            </w:r>
          </w:p>
        </w:tc>
        <w:tc>
          <w:tcPr/>
          <w:p>
            <w:pPr>
              <w:pStyle w:val="Compact"/>
            </w:pPr>
            <w:r>
              <w:t xml:space="preserve">Root Cause: Intentional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--cb-grey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#B3B3B3</w:t>
            </w:r>
          </w:p>
        </w:tc>
        <w:tc>
          <w:tcPr/>
          <w:p>
            <w:pPr>
              <w:pStyle w:val="Compact"/>
            </w:pPr>
            <w:r>
              <w:t xml:space="preserve">Root Cause: Contextual/External</w:t>
            </w:r>
          </w:p>
        </w:tc>
      </w:tr>
    </w:tbl>
    <w:p>
      <w:pPr>
        <w:pStyle w:val="BodyText"/>
      </w:pPr>
      <w:r>
        <w:t xml:space="preserve">Additionally:</w:t>
      </w:r>
      <w:r>
        <w:t xml:space="preserve"> </w:t>
      </w:r>
      <w:r>
        <w:t xml:space="preserve">- All charts include</w:t>
      </w:r>
      <w:r>
        <w:t xml:space="preserve"> </w:t>
      </w:r>
      <w:r>
        <w:rPr>
          <w:b/>
          <w:bCs/>
        </w:rPr>
        <w:t xml:space="preserve">pattern fills</w:t>
      </w:r>
      <w:r>
        <w:t xml:space="preserve"> </w:t>
      </w:r>
      <w:r>
        <w:t xml:space="preserve">(stripes, dots, crosshatch) as a secondary encoding alongside colour.</w:t>
      </w:r>
      <w:r>
        <w:t xml:space="preserve"> </w:t>
      </w:r>
      <w:r>
        <w:t xml:space="preserve">- All data points include</w:t>
      </w:r>
      <w:r>
        <w:t xml:space="preserve"> </w:t>
      </w:r>
      <w:r>
        <w:rPr>
          <w:b/>
          <w:bCs/>
        </w:rPr>
        <w:t xml:space="preserve">text labels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tooltips</w:t>
      </w:r>
      <w:r>
        <w:t xml:space="preserve"> </w:t>
      </w:r>
      <w:r>
        <w:t xml:space="preserve">so information is never conveyed by colour alone.</w:t>
      </w:r>
      <w:r>
        <w:t xml:space="preserve"> </w:t>
      </w:r>
      <w:r>
        <w:t xml:space="preserve">- Contrast ratios meet WCAG 2.1 AA standards (4.5:1 minimum for text).</w:t>
      </w:r>
    </w:p>
    <w:p>
      <w:r>
        <w:pict>
          <v:rect style="width:0;height:1.5pt" o:hralign="center" o:hrstd="t" o:hr="t"/>
        </w:pict>
      </w:r>
    </w:p>
    <w:bookmarkEnd w:id="12"/>
    <w:bookmarkStart w:id="13" w:name="site-architecture-page-sections"/>
    <w:p>
      <w:pPr>
        <w:pStyle w:val="Heading2"/>
      </w:pPr>
      <w:r>
        <w:t xml:space="preserve">4. Site Architecture — Page Sections</w:t>
      </w:r>
    </w:p>
    <w:p>
      <w:pPr>
        <w:pStyle w:val="FirstParagraph"/>
      </w:pPr>
      <w:r>
        <w:t xml:space="preserve">The website is a</w:t>
      </w:r>
      <w:r>
        <w:t xml:space="preserve"> </w:t>
      </w:r>
      <w:r>
        <w:rPr>
          <w:b/>
          <w:bCs/>
        </w:rPr>
        <w:t xml:space="preserve">single-page application</w:t>
      </w:r>
      <w:r>
        <w:t xml:space="preserve"> </w:t>
      </w:r>
      <w:r>
        <w:t xml:space="preserve">with smooth-scrolling sections:</w:t>
      </w:r>
    </w:p>
    <w:p>
      <w:pPr>
        <w:pStyle w:val="SourceCode"/>
      </w:pPr>
      <w:r>
        <w:rPr>
          <w:rStyle w:val="VerbatimChar"/>
        </w:rPr>
        <w:t xml:space="preserve">index.html</w:t>
      </w:r>
      <w:r>
        <w:br/>
      </w:r>
      <w:r>
        <w:rPr>
          <w:rStyle w:val="VerbatimChar"/>
        </w:rPr>
        <w:t xml:space="preserve">├── Section 1:  Hero / UVP (general consultancy positioning)</w:t>
      </w:r>
      <w:r>
        <w:br/>
      </w:r>
      <w:r>
        <w:rPr>
          <w:rStyle w:val="VerbatimChar"/>
        </w:rPr>
        <w:t xml:space="preserve">├── Section 2:  Services (RDQA, Digital Cross-Checks, Data Review Sessions)</w:t>
      </w:r>
      <w:r>
        <w:br/>
      </w:r>
      <w:r>
        <w:rPr>
          <w:rStyle w:val="VerbatimChar"/>
        </w:rPr>
        <w:t xml:space="preserve">├── Section 3:  The Challenge (Digital vs Paper problem — generic)</w:t>
      </w:r>
      <w:r>
        <w:br/>
      </w:r>
      <w:r>
        <w:rPr>
          <w:rStyle w:val="VerbatimChar"/>
        </w:rPr>
        <w:t xml:space="preserve">├── Section 4:  Our Approach (Three Frameworks)</w:t>
      </w:r>
      <w:r>
        <w:br/>
      </w:r>
      <w:r>
        <w:rPr>
          <w:rStyle w:val="VerbatimChar"/>
        </w:rPr>
        <w:t xml:space="preserve">├── Section 5:  Live Demo — Verification Factor Dashboard (anonymised facilities)</w:t>
      </w:r>
      <w:r>
        <w:br/>
      </w:r>
      <w:r>
        <w:rPr>
          <w:rStyle w:val="VerbatimChar"/>
        </w:rPr>
        <w:t xml:space="preserve">├── Section 6:  Live Demo — Facility Scorecard Spider Charts</w:t>
      </w:r>
      <w:r>
        <w:br/>
      </w:r>
      <w:r>
        <w:rPr>
          <w:rStyle w:val="VerbatimChar"/>
        </w:rPr>
        <w:t xml:space="preserve">├── Section 7:  Live Demo — Root Cause Analysis</w:t>
      </w:r>
      <w:r>
        <w:br/>
      </w:r>
      <w:r>
        <w:rPr>
          <w:rStyle w:val="VerbatimChar"/>
        </w:rPr>
        <w:t xml:space="preserve">├── Section 8:  Live Demo — Monthly RDQA Timeline</w:t>
      </w:r>
      <w:r>
        <w:br/>
      </w:r>
      <w:r>
        <w:rPr>
          <w:rStyle w:val="VerbatimChar"/>
        </w:rPr>
        <w:t xml:space="preserve">├── Section 9:  Live Demo — Urban vs Peri-Urban Comparison (generic districts)</w:t>
      </w:r>
      <w:r>
        <w:br/>
      </w:r>
      <w:r>
        <w:rPr>
          <w:rStyle w:val="VerbatimChar"/>
        </w:rPr>
        <w:t xml:space="preserve">├── Section 10: Clients / Past Performance (PTBi, MGIC, iTECH, Sanyu, UVRI + "Your Programme Here")</w:t>
      </w:r>
      <w:r>
        <w:br/>
      </w:r>
      <w:r>
        <w:rPr>
          <w:rStyle w:val="VerbatimChar"/>
        </w:rPr>
        <w:t xml:space="preserve">├── Section 11: Team Credentials</w:t>
      </w:r>
      <w:r>
        <w:br/>
      </w:r>
      <w:r>
        <w:rPr>
          <w:rStyle w:val="VerbatimChar"/>
        </w:rPr>
        <w:t xml:space="preserve">├── Section 12: Standard Deliverables</w:t>
      </w:r>
      <w:r>
        <w:br/>
      </w:r>
      <w:r>
        <w:rPr>
          <w:rStyle w:val="VerbatimChar"/>
        </w:rPr>
        <w:t xml:space="preserve">├── Section 13: Call to Action / Contact</w:t>
      </w:r>
      <w:r>
        <w:br/>
      </w:r>
      <w:r>
        <w:rPr>
          <w:rStyle w:val="VerbatimChar"/>
        </w:rPr>
        <w:t xml:space="preserve">└── Footer</w:t>
      </w:r>
    </w:p>
    <w:p>
      <w:r>
        <w:pict>
          <v:rect style="width:0;height:1.5pt" o:hralign="center" o:hrstd="t" o:hr="t"/>
        </w:pict>
      </w:r>
    </w:p>
    <w:bookmarkEnd w:id="13"/>
    <w:bookmarkStart w:id="26" w:name="section-specifications"/>
    <w:p>
      <w:pPr>
        <w:pStyle w:val="Heading2"/>
      </w:pPr>
      <w:r>
        <w:t xml:space="preserve">5. Section Specifications</w:t>
      </w:r>
    </w:p>
    <w:bookmarkStart w:id="14" w:name="hero-section"/>
    <w:p>
      <w:pPr>
        <w:pStyle w:val="Heading3"/>
      </w:pPr>
      <w:r>
        <w:t xml:space="preserve">5.1 Hero Section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Headline:</w:t>
      </w:r>
      <w:r>
        <w:t xml:space="preserve"> </w:t>
      </w:r>
      <w:r>
        <w:t xml:space="preserve">“Data You Can Trust. Decisions You Can Defend.”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Subheadline:</w:t>
      </w:r>
      <w:r>
        <w:t xml:space="preserve"> </w:t>
      </w:r>
      <w:r>
        <w:t xml:space="preserve">“Independent Routine Data Quality Audits for Tiko Africa — Kampala &amp; Wakiso Districts”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Background:</w:t>
      </w:r>
      <w:r>
        <w:t xml:space="preserve"> </w:t>
      </w:r>
      <w:r>
        <w:t xml:space="preserve">Animated particle network (GSAP) representing data connections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Stats Counter:</w:t>
      </w:r>
      <w:r>
        <w:t xml:space="preserve"> </w:t>
      </w:r>
      <w:r>
        <w:t xml:space="preserve">(GSAP ScrollTrigger) 23+ years combined experience | 54 facilities | 3 frameworks | 296 mobilisers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CTA Button:</w:t>
      </w:r>
      <w:r>
        <w:t xml:space="preserve"> </w:t>
      </w:r>
      <w:r>
        <w:t xml:space="preserve">“See Our RDQA Demo”</w:t>
      </w:r>
      <w:r>
        <w:t xml:space="preserve"> </w:t>
      </w:r>
      <w:r>
        <w:t xml:space="preserve">(scrolls to Section 4)</w:t>
      </w:r>
    </w:p>
    <w:bookmarkEnd w:id="14"/>
    <w:bookmarkStart w:id="15" w:name="the-challenge"/>
    <w:p>
      <w:pPr>
        <w:pStyle w:val="Heading3"/>
      </w:pPr>
      <w:r>
        <w:t xml:space="preserve">5.2 The Challenge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Animated split diagram showing Tiko Platform (digital) vs HMIS Registers (paper) running in parallel with discrepancy indicators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Copy:</w:t>
      </w:r>
      <w:r>
        <w:t xml:space="preserve"> </w:t>
      </w:r>
      <w:r>
        <w:t xml:space="preserve">Explains the core challenge — digital vs paper-based systems creating data gaps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D3.js Animation:</w:t>
      </w:r>
      <w:r>
        <w:t xml:space="preserve"> </w:t>
      </w:r>
      <w:r>
        <w:t xml:space="preserve">Two parallel data streams flowing with highlighted discrepancy points</w:t>
      </w:r>
    </w:p>
    <w:bookmarkEnd w:id="15"/>
    <w:bookmarkStart w:id="16" w:name="our-approach-three-way-triangulation"/>
    <w:p>
      <w:pPr>
        <w:pStyle w:val="Heading3"/>
      </w:pPr>
      <w:r>
        <w:t xml:space="preserve">5.3 Our Approach — Three-Way Triangulation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D3.js Sankey Diagram:</w:t>
      </w:r>
      <w:r>
        <w:t xml:space="preserve"> </w:t>
      </w:r>
      <w:r>
        <w:t xml:space="preserve">Interactive flow showing data from three sources (Tiko Platform, Facility Registers, National DHIS2) converging into verified, reconciled 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Hover interactions:</w:t>
      </w:r>
      <w:r>
        <w:t xml:space="preserve"> </w:t>
      </w:r>
      <w:r>
        <w:t xml:space="preserve">Each node shows description and verification method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Pattern fills</w:t>
      </w:r>
      <w:r>
        <w:t xml:space="preserve"> </w:t>
      </w:r>
      <w:r>
        <w:t xml:space="preserve">for colorblind accessibility</w:t>
      </w:r>
    </w:p>
    <w:bookmarkEnd w:id="16"/>
    <w:bookmarkStart w:id="17" w:name="Xb525caa4c957652f5e3e6b5f1cadb447e908f02"/>
    <w:p>
      <w:pPr>
        <w:pStyle w:val="Heading3"/>
      </w:pPr>
      <w:r>
        <w:t xml:space="preserve">5.4 Verification Factor Dashboard (Primary Demo)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D3.js Interactive Bar Chart:</w:t>
      </w:r>
      <w:r>
        <w:t xml:space="preserve"> </w:t>
      </w:r>
      <w:r>
        <w:t xml:space="preserve">Simulated Verification Factors for 12 health facilities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Tolerance Band:</w:t>
      </w:r>
      <w:r>
        <w:t xml:space="preserve"> </w:t>
      </w:r>
      <w:r>
        <w:t xml:space="preserve">Shaded 90-110% acceptable range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Colour coding:</w:t>
      </w:r>
      <w:r>
        <w:t xml:space="preserve"> </w:t>
      </w:r>
      <w:r>
        <w:t xml:space="preserve">Teal (acceptable), Orange (over-reporting &lt;90%), Purple (under-reporting &gt;110%)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Interactivity:</w:t>
      </w:r>
      <w:r>
        <w:t xml:space="preserve"> </w:t>
      </w:r>
      <w:r>
        <w:t xml:space="preserve">Click facility to drill into indicator-level VFs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Animated counters:</w:t>
      </w:r>
      <w:r>
        <w:t xml:space="preserve"> </w:t>
      </w:r>
      <w:r>
        <w:t xml:space="preserve">Show percentage of facilities within tolerance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Indicators:</w:t>
      </w:r>
      <w:r>
        <w:t xml:space="preserve"> </w:t>
      </w:r>
      <w:r>
        <w:t xml:space="preserve">Family Planning, HIV Testing, ANC Visits, Immunisations, SGBV Referrals</w:t>
      </w:r>
    </w:p>
    <w:bookmarkEnd w:id="17"/>
    <w:bookmarkStart w:id="18" w:name="facility-scorecard-spiderradar-charts"/>
    <w:p>
      <w:pPr>
        <w:pStyle w:val="Heading3"/>
      </w:pPr>
      <w:r>
        <w:t xml:space="preserve">5.5 Facility Scorecard — Spider/Radar Charts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D3.js Radar Chart:</w:t>
      </w:r>
      <w:r>
        <w:t xml:space="preserve"> </w:t>
      </w:r>
      <w:r>
        <w:t xml:space="preserve">Five-axis systems assessment (M&amp;E Structure, Data Collection, Indicator Definitions, Data Management, Data Use)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Toggle:</w:t>
      </w:r>
      <w:r>
        <w:t xml:space="preserve"> </w:t>
      </w:r>
      <w:r>
        <w:t xml:space="preserve">Switch between individual facilities to compare scores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Pattern fills:</w:t>
      </w:r>
      <w:r>
        <w:t xml:space="preserve"> </w:t>
      </w:r>
      <w:r>
        <w:t xml:space="preserve">Each axis uses distinct pattern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Baseline overlay:</w:t>
      </w:r>
      <w:r>
        <w:t xml:space="preserve"> </w:t>
      </w:r>
      <w:r>
        <w:t xml:space="preserve">Show before/after RDQA improvement trajectory</w:t>
      </w:r>
    </w:p>
    <w:bookmarkEnd w:id="18"/>
    <w:bookmarkStart w:id="19" w:name="root-cause-analysis-breakdown"/>
    <w:p>
      <w:pPr>
        <w:pStyle w:val="Heading3"/>
      </w:pPr>
      <w:r>
        <w:t xml:space="preserve">5.6 Root Cause Analysis Breakdown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D3.js Sunburst/Donut Chart:</w:t>
      </w:r>
      <w:r>
        <w:t xml:space="preserve"> </w:t>
      </w:r>
      <w:r>
        <w:t xml:space="preserve">Proportional breakdown of root causes across all facilities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Categories:</w:t>
      </w:r>
      <w:r>
        <w:t xml:space="preserve"> </w:t>
      </w:r>
      <w:r>
        <w:t xml:space="preserve">Human Factors, Systems/Process, Supply/Resources, Intentional, Contextual/External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Drill-down:</w:t>
      </w:r>
      <w:r>
        <w:t xml:space="preserve"> </w:t>
      </w:r>
      <w:r>
        <w:t xml:space="preserve">Click category to see specific examples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Animated transitions</w:t>
      </w:r>
      <w:r>
        <w:t xml:space="preserve"> </w:t>
      </w:r>
      <w:r>
        <w:t xml:space="preserve">between views</w:t>
      </w:r>
    </w:p>
    <w:bookmarkEnd w:id="19"/>
    <w:bookmarkStart w:id="20" w:name="monthly-rdqa-timeline"/>
    <w:p>
      <w:pPr>
        <w:pStyle w:val="Heading3"/>
      </w:pPr>
      <w:r>
        <w:t xml:space="preserve">5.7 Monthly RDQA Timeline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D3.js + GSAP Timeline:</w:t>
      </w:r>
      <w:r>
        <w:t xml:space="preserve"> </w:t>
      </w:r>
      <w:r>
        <w:t xml:space="preserve">Interactive Gantt-style chart showing the 25-day monthly cycle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Three phases:</w:t>
      </w:r>
      <w:r>
        <w:t xml:space="preserve"> </w:t>
      </w:r>
      <w:r>
        <w:t xml:space="preserve">Pre-Visit (Days 1-3), On-Site (Days 4-18), Analysis &amp; Reporting (Days 19-25)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Scroll-triggered animation:</w:t>
      </w:r>
      <w:r>
        <w:t xml:space="preserve"> </w:t>
      </w:r>
      <w:r>
        <w:t xml:space="preserve">Phases animate in sequence as user scrolls</w:t>
      </w:r>
    </w:p>
    <w:bookmarkEnd w:id="20"/>
    <w:bookmarkStart w:id="21" w:name="kampala-vs-wakiso-comparison"/>
    <w:p>
      <w:pPr>
        <w:pStyle w:val="Heading3"/>
      </w:pPr>
      <w:r>
        <w:t xml:space="preserve">5.8 Kampala vs Wakiso Comparison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D3.js Grouped Bar Chart:</w:t>
      </w:r>
      <w:r>
        <w:t xml:space="preserve"> </w:t>
      </w:r>
      <w:r>
        <w:t xml:space="preserve">Side-by-side comparison of VFs across the two districts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Interactive toggle:</w:t>
      </w:r>
      <w:r>
        <w:t xml:space="preserve"> </w:t>
      </w:r>
      <w:r>
        <w:t xml:space="preserve">Switch between indicators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Animated transitions</w:t>
      </w:r>
      <w:r>
        <w:t xml:space="preserve"> </w:t>
      </w:r>
      <w:r>
        <w:t xml:space="preserve">between datasets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Summary statistics</w:t>
      </w:r>
      <w:r>
        <w:t xml:space="preserve"> </w:t>
      </w:r>
      <w:r>
        <w:t xml:space="preserve">panel</w:t>
      </w:r>
    </w:p>
    <w:bookmarkEnd w:id="21"/>
    <w:bookmarkStart w:id="22" w:name="team-credentials"/>
    <w:p>
      <w:pPr>
        <w:pStyle w:val="Heading3"/>
      </w:pPr>
      <w:r>
        <w:t xml:space="preserve">5.9 Team Credentials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Professional cards</w:t>
      </w:r>
      <w:r>
        <w:t xml:space="preserve"> </w:t>
      </w:r>
      <w:r>
        <w:t xml:space="preserve">for Paul Mubiri and Raymond R. Wayesu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GSAP reveal animation</w:t>
      </w:r>
      <w:r>
        <w:t xml:space="preserve"> </w:t>
      </w:r>
      <w:r>
        <w:t xml:space="preserve">on scroll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Key stats:</w:t>
      </w:r>
      <w:r>
        <w:t xml:space="preserve"> </w:t>
      </w:r>
      <w:r>
        <w:t xml:space="preserve">23+ years combined, 25+ publications, expertise in DHIS2, R, Python, STATA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Past performance highlights</w:t>
      </w:r>
      <w:r>
        <w:t xml:space="preserve"> </w:t>
      </w:r>
      <w:r>
        <w:t xml:space="preserve">with organisation logos</w:t>
      </w:r>
    </w:p>
    <w:bookmarkEnd w:id="22"/>
    <w:bookmarkStart w:id="23" w:name="frameworks-methodology"/>
    <w:p>
      <w:pPr>
        <w:pStyle w:val="Heading3"/>
      </w:pPr>
      <w:r>
        <w:t xml:space="preserve">5.10 Frameworks &amp; Methodology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Three-column layout</w:t>
      </w:r>
      <w:r>
        <w:t xml:space="preserve"> </w:t>
      </w:r>
      <w:r>
        <w:t xml:space="preserve">with animated icons:</w:t>
      </w:r>
    </w:p>
    <w:p>
      <w:pPr>
        <w:pStyle w:val="Compact"/>
        <w:numPr>
          <w:ilvl w:val="1"/>
          <w:numId w:val="1012"/>
        </w:numPr>
      </w:pPr>
      <w:r>
        <w:t xml:space="preserve">MEASURE Evaluation RDQA Tool</w:t>
      </w:r>
    </w:p>
    <w:p>
      <w:pPr>
        <w:pStyle w:val="Compact"/>
        <w:numPr>
          <w:ilvl w:val="1"/>
          <w:numId w:val="1012"/>
        </w:numPr>
      </w:pPr>
      <w:r>
        <w:t xml:space="preserve">WHO Data Quality Review Toolkit</w:t>
      </w:r>
    </w:p>
    <w:p>
      <w:pPr>
        <w:pStyle w:val="Compact"/>
        <w:numPr>
          <w:ilvl w:val="1"/>
          <w:numId w:val="1012"/>
        </w:numPr>
      </w:pPr>
      <w:r>
        <w:t xml:space="preserve">Uganda MoH HMIS Guidelines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GSAP stagger animation</w:t>
      </w:r>
      <w:r>
        <w:t xml:space="preserve"> </w:t>
      </w:r>
      <w:r>
        <w:t xml:space="preserve">on scroll entry</w:t>
      </w:r>
    </w:p>
    <w:bookmarkEnd w:id="23"/>
    <w:bookmarkStart w:id="24" w:name="deliverables-overview"/>
    <w:p>
      <w:pPr>
        <w:pStyle w:val="Heading3"/>
      </w:pPr>
      <w:r>
        <w:t xml:space="preserve">5.11 Deliverables Overview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Interactive cards</w:t>
      </w:r>
      <w:r>
        <w:t xml:space="preserve"> </w:t>
      </w:r>
      <w:r>
        <w:t xml:space="preserve">showing each deliverable with format and frequency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Deliverables:</w:t>
      </w:r>
      <w:r>
        <w:t xml:space="preserve"> </w:t>
      </w:r>
      <w:r>
        <w:t xml:space="preserve">Inception Report, Monthly Cleaned Datasets, Individual Facility Reports, Action Point Tracker, Quarterly Data Review Reports, Strategic Insights Reports</w:t>
      </w:r>
    </w:p>
    <w:bookmarkEnd w:id="24"/>
    <w:bookmarkStart w:id="25" w:name="call-to-action"/>
    <w:p>
      <w:pPr>
        <w:pStyle w:val="Heading3"/>
      </w:pPr>
      <w:r>
        <w:t xml:space="preserve">5.12 Call to Action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Headline:</w:t>
      </w:r>
      <w:r>
        <w:t xml:space="preserve"> </w:t>
      </w:r>
      <w:r>
        <w:t xml:space="preserve">“Ready to Strengthen Your Data Quality?”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Contact details</w:t>
      </w:r>
      <w:r>
        <w:t xml:space="preserve"> </w:t>
      </w:r>
      <w:r>
        <w:t xml:space="preserve">for both consultants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Email link</w:t>
      </w:r>
      <w:r>
        <w:t xml:space="preserve"> </w:t>
      </w:r>
      <w:r>
        <w:t xml:space="preserve">and submission reference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“Request a Proposal”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ile-structure"/>
    <w:p>
      <w:pPr>
        <w:pStyle w:val="Heading2"/>
      </w:pPr>
      <w:r>
        <w:t xml:space="preserve">6. File Structure</w:t>
      </w:r>
    </w:p>
    <w:p>
      <w:pPr>
        <w:pStyle w:val="SourceCode"/>
      </w:pPr>
      <w:r>
        <w:rPr>
          <w:rStyle w:val="VerbatimChar"/>
        </w:rPr>
        <w:t xml:space="preserve">rdqa_web_demo/</w:t>
      </w:r>
      <w:r>
        <w:br/>
      </w:r>
      <w:r>
        <w:rPr>
          <w:rStyle w:val="VerbatimChar"/>
        </w:rPr>
        <w:t xml:space="preserve">├── index.html                    # Main single-page application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│   ├── main.css                  # Core styles, layout, typography</w:t>
      </w:r>
      <w:r>
        <w:br/>
      </w:r>
      <w:r>
        <w:rPr>
          <w:rStyle w:val="VerbatimChar"/>
        </w:rPr>
        <w:t xml:space="preserve">│   ├── variables.css             # CSS custom properties, colorblind-safe palette</w:t>
      </w:r>
      <w:r>
        <w:br/>
      </w:r>
      <w:r>
        <w:rPr>
          <w:rStyle w:val="VerbatimChar"/>
        </w:rPr>
        <w:t xml:space="preserve">│   ├── animations.css            # GSAP-triggered animation classes</w:t>
      </w:r>
      <w:r>
        <w:br/>
      </w:r>
      <w:r>
        <w:rPr>
          <w:rStyle w:val="VerbatimChar"/>
        </w:rPr>
        <w:t xml:space="preserve">│   └── responsive.css            # Media queries for mobile/tablet/desktop</w:t>
      </w:r>
      <w:r>
        <w:br/>
      </w:r>
      <w:r>
        <w:rPr>
          <w:rStyle w:val="VerbatimChar"/>
        </w:rPr>
        <w:t xml:space="preserve">├── js/</w:t>
      </w:r>
      <w:r>
        <w:br/>
      </w:r>
      <w:r>
        <w:rPr>
          <w:rStyle w:val="VerbatimChar"/>
        </w:rPr>
        <w:t xml:space="preserve">│   ├── main.js                   # App initialisation, scroll handling, navigation</w:t>
      </w:r>
      <w:r>
        <w:br/>
      </w:r>
      <w:r>
        <w:rPr>
          <w:rStyle w:val="VerbatimChar"/>
        </w:rPr>
        <w:t xml:space="preserve">│   ├── data.js                   # Simulated RDQA data (VFs, scores, root causes)</w:t>
      </w:r>
      <w:r>
        <w:br/>
      </w:r>
      <w:r>
        <w:rPr>
          <w:rStyle w:val="VerbatimChar"/>
        </w:rPr>
        <w:t xml:space="preserve">│   ├── charts/</w:t>
      </w:r>
      <w:r>
        <w:br/>
      </w:r>
      <w:r>
        <w:rPr>
          <w:rStyle w:val="VerbatimChar"/>
        </w:rPr>
        <w:t xml:space="preserve">│   │   ├── verification-factor.js  # D3.js VF bar chart with tolerance band</w:t>
      </w:r>
      <w:r>
        <w:br/>
      </w:r>
      <w:r>
        <w:rPr>
          <w:rStyle w:val="VerbatimChar"/>
        </w:rPr>
        <w:t xml:space="preserve">│   │   ├── spider-chart.js         # D3.js radar/spider chart for facility scores</w:t>
      </w:r>
      <w:r>
        <w:br/>
      </w:r>
      <w:r>
        <w:rPr>
          <w:rStyle w:val="VerbatimChar"/>
        </w:rPr>
        <w:t xml:space="preserve">│   │   ├── root-cause.js           # D3.js sunburst/donut chart</w:t>
      </w:r>
      <w:r>
        <w:br/>
      </w:r>
      <w:r>
        <w:rPr>
          <w:rStyle w:val="VerbatimChar"/>
        </w:rPr>
        <w:t xml:space="preserve">│   │   ├── sankey.js               # D3.js Sankey diagram for triangulation</w:t>
      </w:r>
      <w:r>
        <w:br/>
      </w:r>
      <w:r>
        <w:rPr>
          <w:rStyle w:val="VerbatimChar"/>
        </w:rPr>
        <w:t xml:space="preserve">│   │   ├── timeline.js             # D3.js + GSAP Gantt timeline</w:t>
      </w:r>
      <w:r>
        <w:br/>
      </w:r>
      <w:r>
        <w:rPr>
          <w:rStyle w:val="VerbatimChar"/>
        </w:rPr>
        <w:t xml:space="preserve">│   │   └── district-compare.js     # D3.js grouped bar chart</w:t>
      </w:r>
      <w:r>
        <w:br/>
      </w:r>
      <w:r>
        <w:rPr>
          <w:rStyle w:val="VerbatimChar"/>
        </w:rPr>
        <w:t xml:space="preserve">│   └── animations/</w:t>
      </w:r>
      <w:r>
        <w:br/>
      </w:r>
      <w:r>
        <w:rPr>
          <w:rStyle w:val="VerbatimChar"/>
        </w:rPr>
        <w:t xml:space="preserve">│       ├── hero.js                 # Particle network background</w:t>
      </w:r>
      <w:r>
        <w:br/>
      </w:r>
      <w:r>
        <w:rPr>
          <w:rStyle w:val="VerbatimChar"/>
        </w:rPr>
        <w:t xml:space="preserve">│       ├── counters.js             # Number counter animations</w:t>
      </w:r>
      <w:r>
        <w:br/>
      </w:r>
      <w:r>
        <w:rPr>
          <w:rStyle w:val="VerbatimChar"/>
        </w:rPr>
        <w:t xml:space="preserve">│       └── scroll-reveals.js       # ScrollTrigger section reveals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└── favicon.svg               # Site favicon</w:t>
      </w:r>
      <w:r>
        <w:br/>
      </w:r>
      <w:r>
        <w:rPr>
          <w:rStyle w:val="VerbatimChar"/>
        </w:rPr>
        <w:t xml:space="preserve">├── vercel.json                   # Vercel deployment configuration</w:t>
      </w:r>
      <w:r>
        <w:br/>
      </w:r>
      <w:r>
        <w:rPr>
          <w:rStyle w:val="VerbatimChar"/>
        </w:rPr>
        <w:t xml:space="preserve">├── package.json                  # Project metadata (no build dependencies)</w:t>
      </w:r>
      <w:r>
        <w:br/>
      </w:r>
      <w:r>
        <w:rPr>
          <w:rStyle w:val="VerbatimChar"/>
        </w:rPr>
        <w:t xml:space="preserve">├── ARCHITECTURE.md               # This document</w:t>
      </w:r>
      <w:r>
        <w:br/>
      </w:r>
      <w:r>
        <w:rPr>
          <w:rStyle w:val="VerbatimChar"/>
        </w:rPr>
        <w:t xml:space="preserve">└── ARCHITECTURE.docx             # This document (Word format)</w:t>
      </w:r>
    </w:p>
    <w:p>
      <w:r>
        <w:pict>
          <v:rect style="width:0;height:1.5pt" o:hralign="center" o:hrstd="t" o:hr="t"/>
        </w:pict>
      </w:r>
    </w:p>
    <w:bookmarkEnd w:id="27"/>
    <w:bookmarkStart w:id="28" w:name="simulated-data-strategy"/>
    <w:p>
      <w:pPr>
        <w:pStyle w:val="Heading2"/>
      </w:pPr>
      <w:r>
        <w:t xml:space="preserve">7. Simulated Data Strategy</w:t>
      </w:r>
    </w:p>
    <w:p>
      <w:pPr>
        <w:pStyle w:val="FirstParagraph"/>
      </w:pPr>
      <w:r>
        <w:t xml:space="preserve">All visualisations use</w:t>
      </w:r>
      <w:r>
        <w:t xml:space="preserve"> </w:t>
      </w:r>
      <w:r>
        <w:rPr>
          <w:b/>
          <w:bCs/>
        </w:rPr>
        <w:t xml:space="preserve">realistic but simulated data</w:t>
      </w:r>
      <w:r>
        <w:t xml:space="preserve"> </w:t>
      </w:r>
      <w:r>
        <w:t xml:space="preserve">designed to demonstrate the RDQA methodology. The data mirrors what actual RDQA outputs would look like: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12 anonymised health facilities</w:t>
      </w:r>
      <w:r>
        <w:t xml:space="preserve"> </w:t>
      </w:r>
      <w:r>
        <w:t xml:space="preserve">across District A/Urban (6) and District B/Peri-Urban (6)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5 health indicators:</w:t>
      </w:r>
      <w:r>
        <w:t xml:space="preserve"> </w:t>
      </w:r>
      <w:r>
        <w:t xml:space="preserve">Family Planning, HIV Testing Services, ANC First Visit, Immunisation (DPT3), SGBV Referrals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Verification Factors</w:t>
      </w:r>
      <w:r>
        <w:t xml:space="preserve"> </w:t>
      </w:r>
      <w:r>
        <w:t xml:space="preserve">ranging from 72% to 118% to show realistic variation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Systems Assessment Scores</w:t>
      </w:r>
      <w:r>
        <w:t xml:space="preserve"> </w:t>
      </w:r>
      <w:r>
        <w:t xml:space="preserve">across 5 M&amp;E functional areas (1-5 Likert scale)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Root Cause Distribution</w:t>
      </w:r>
      <w:r>
        <w:t xml:space="preserve"> </w:t>
      </w:r>
      <w:r>
        <w:t xml:space="preserve">reflecting real-world patterns from Uganda health sector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Monthly trend data</w:t>
      </w:r>
      <w:r>
        <w:t xml:space="preserve"> </w:t>
      </w:r>
      <w:r>
        <w:t xml:space="preserve">for March-December 2026 projection</w:t>
      </w:r>
    </w:p>
    <w:p>
      <w:r>
        <w:pict>
          <v:rect style="width:0;height:1.5pt" o:hralign="center" o:hrstd="t" o:hr="t"/>
        </w:pict>
      </w:r>
    </w:p>
    <w:bookmarkEnd w:id="28"/>
    <w:bookmarkStart w:id="29" w:name="performance-accessibility"/>
    <w:p>
      <w:pPr>
        <w:pStyle w:val="Heading2"/>
      </w:pPr>
      <w:r>
        <w:t xml:space="preserve">8. Performance &amp; Accessibility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Lighthouse Target:</w:t>
      </w:r>
      <w:r>
        <w:t xml:space="preserve"> </w:t>
      </w:r>
      <w:r>
        <w:t xml:space="preserve">95+ on Performance, 100 on Accessibility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Core Web Vitals:</w:t>
      </w:r>
      <w:r>
        <w:t xml:space="preserve"> </w:t>
      </w:r>
      <w:r>
        <w:t xml:space="preserve">LCP &lt; 2.5s, FID &lt; 100ms, CLS &lt; 0.1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Progressive Enhancement:</w:t>
      </w:r>
      <w:r>
        <w:t xml:space="preserve"> </w:t>
      </w:r>
      <w:r>
        <w:t xml:space="preserve">Site is fully readable without JavaScript; charts enhance the experience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ARIA Labels:</w:t>
      </w:r>
      <w:r>
        <w:t xml:space="preserve"> </w:t>
      </w:r>
      <w:r>
        <w:t xml:space="preserve">All interactive elements have proper ARIA attributes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Keyboard Navigation:</w:t>
      </w:r>
      <w:r>
        <w:t xml:space="preserve"> </w:t>
      </w:r>
      <w:r>
        <w:t xml:space="preserve">All interactive chart elements are keyboard-accessible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Screen Reader Support:</w:t>
      </w:r>
      <w:r>
        <w:t xml:space="preserve"> </w:t>
      </w:r>
      <w:r>
        <w:t xml:space="preserve">Chart data available as accessible tables with</w:t>
      </w:r>
      <w:r>
        <w:t xml:space="preserve"> </w:t>
      </w:r>
      <w:r>
        <w:rPr>
          <w:rStyle w:val="VerbatimChar"/>
        </w:rPr>
        <w:t xml:space="preserve">aria-describedby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Reduced Motion:</w:t>
      </w:r>
      <w:r>
        <w:t xml:space="preserve"> </w:t>
      </w:r>
      <w:r>
        <w:t xml:space="preserve">Respects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media query</w:t>
      </w:r>
    </w:p>
    <w:p>
      <w:r>
        <w:pict>
          <v:rect style="width:0;height:1.5pt" o:hralign="center" o:hrstd="t" o:hr="t"/>
        </w:pict>
      </w:r>
    </w:p>
    <w:bookmarkEnd w:id="29"/>
    <w:bookmarkStart w:id="30" w:name="vercel-deployment"/>
    <w:p>
      <w:pPr>
        <w:pStyle w:val="Heading2"/>
      </w:pPr>
      <w:r>
        <w:t xml:space="preserve">9. Vercel Deployment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Static site (no server-side rendering needed)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Config: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with proper caching headers for static assets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CDN Libraries:</w:t>
      </w:r>
      <w:r>
        <w:t xml:space="preserve"> </w:t>
      </w:r>
      <w:r>
        <w:t xml:space="preserve">D3.js and GSAP loaded from CDN with SRI integrity hashes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Custom Domain:</w:t>
      </w:r>
      <w:r>
        <w:t xml:space="preserve"> </w:t>
      </w:r>
      <w:r>
        <w:t xml:space="preserve">Ready for custom domain configuration</w:t>
      </w:r>
    </w:p>
    <w:p>
      <w:r>
        <w:pict>
          <v:rect style="width:0;height:1.5pt" o:hralign="center" o:hrstd="t" o:hr="t"/>
        </w:pict>
      </w:r>
    </w:p>
    <w:bookmarkEnd w:id="30"/>
    <w:bookmarkStart w:id="31" w:name="demo-sell-build-alignment"/>
    <w:p>
      <w:pPr>
        <w:pStyle w:val="Heading2"/>
      </w:pPr>
      <w:r>
        <w:t xml:space="preserve">10. Demo-Sell-Build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32"/>
        <w:gridCol w:w="378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Demo-Sell-Build Element</w:t>
            </w:r>
          </w:p>
        </w:tc>
        <w:tc>
          <w:tcPr/>
          <w:p>
            <w:pPr>
              <w:pStyle w:val="Compact"/>
            </w:pPr>
            <w:r>
              <w:t xml:space="preserve">Website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Unique Value Proposition</w:t>
            </w:r>
          </w:p>
        </w:tc>
        <w:tc>
          <w:tcPr/>
          <w:p>
            <w:pPr>
              <w:pStyle w:val="Compact"/>
            </w:pPr>
            <w:r>
              <w:t xml:space="preserve">Hero section:</w:t>
            </w:r>
            <w:r>
              <w:t xml:space="preserve"> </w:t>
            </w:r>
            <w:r>
              <w:t xml:space="preserve">“Data You Can Trust. Decisions You Can Defend.”</w:t>
            </w:r>
            <w:r>
              <w:t xml:space="preserve"> </w:t>
            </w:r>
            <w:r>
              <w:t xml:space="preserve">— positioned as general RDQA consultancy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Services</w:t>
            </w:r>
          </w:p>
        </w:tc>
        <w:tc>
          <w:tcPr/>
          <w:p>
            <w:pPr>
              <w:pStyle w:val="Compact"/>
            </w:pPr>
            <w:r>
              <w:t xml:space="preserve">Three service cards: RDQAs, Digital Cross-Checks, Facility Data Review Sessions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Demo (Earn Trust)</w:t>
            </w:r>
          </w:p>
        </w:tc>
        <w:tc>
          <w:tcPr/>
          <w:p>
            <w:pPr>
              <w:pStyle w:val="Compact"/>
            </w:pPr>
            <w:r>
              <w:t xml:space="preserve">5 interactive D3.js visualisation sections with anonymised data (Facility A1-A6, B1-B6)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Social Proof / Track Record</w:t>
            </w:r>
          </w:p>
        </w:tc>
        <w:tc>
          <w:tcPr/>
          <w:p>
            <w:pPr>
              <w:pStyle w:val="Compact"/>
            </w:pPr>
            <w:r>
              <w:t xml:space="preserve">“Programmes We Have Supported”</w:t>
            </w:r>
            <w:r>
              <w:t xml:space="preserve"> </w:t>
            </w:r>
            <w:r>
              <w:t xml:space="preserve">section — PTBi, MGIC/PEPFAR, iTECH, Sanyu Africa, UVRI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for Business</w:t>
            </w:r>
          </w:p>
        </w:tc>
        <w:tc>
          <w:tcPr/>
          <w:p>
            <w:pPr>
              <w:pStyle w:val="Compact"/>
            </w:pPr>
            <w:r>
              <w:t xml:space="preserve">“Your Programme Here”</w:t>
            </w:r>
            <w:r>
              <w:t xml:space="preserve"> </w:t>
            </w:r>
            <w:r>
              <w:t xml:space="preserve">card inviting new clients +</w:t>
            </w:r>
            <w:r>
              <w:t xml:space="preserve"> </w:t>
            </w:r>
            <w:r>
              <w:t xml:space="preserve">“Now Accepting Clients”</w:t>
            </w:r>
            <w:r>
              <w:t xml:space="preserve"> </w:t>
            </w:r>
            <w:r>
              <w:t xml:space="preserve">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Call to Action</w:t>
            </w:r>
          </w:p>
        </w:tc>
        <w:tc>
          <w:tcPr/>
          <w:p>
            <w:pPr>
              <w:pStyle w:val="Compact"/>
            </w:pPr>
            <w:r>
              <w:t xml:space="preserve">Contact section with pre-filled email template and</w:t>
            </w:r>
            <w:r>
              <w:t xml:space="preserve"> </w:t>
            </w:r>
            <w:r>
              <w:t xml:space="preserve">“Request a Proposal”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 Signal</w:t>
            </w:r>
          </w:p>
        </w:tc>
        <w:tc>
          <w:tcPr/>
          <w:p>
            <w:pPr>
              <w:pStyle w:val="Compact"/>
            </w:pPr>
            <w:r>
              <w:t xml:space="preserve">“Now accepting Q2 2026 engagements across Uganda”</w:t>
            </w:r>
            <w:r>
              <w:t xml:space="preserve"> </w:t>
            </w:r>
            <w:r>
              <w:t xml:space="preserve">badge in hero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Architecture Document — Mubiri &amp; Wayesu RDQA Consultancy Website</w:t>
      </w:r>
      <w:r>
        <w:t xml:space="preserve"> </w:t>
      </w:r>
      <w:r>
        <w:rPr>
          <w:i/>
          <w:iCs/>
        </w:rPr>
        <w:t xml:space="preserve">Paul Mubiri &amp; Raymond R. Wayesu | February 2026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2026-02-11T11:37:38Z</dcterms:created>
  <dcterms:modified xsi:type="dcterms:W3CDTF">2026-02-11T11:37:38Z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