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0284C7"/>
          <w:sz w:val="22"/>
        </w:rPr>
        <w:t>BHARATCARES / AICTE DATA ANALYTICS WITH AI ACADEMIC INTERNSHIP</w:t>
      </w:r>
    </w:p>
    <w:p>
      <w:pPr>
        <w:spacing w:before="200" w:after="160"/>
        <w:jc w:val="center"/>
      </w:pPr>
      <w:r>
        <w:rPr>
          <w:rFonts w:ascii="Calibri" w:hAnsi="Calibri"/>
          <w:b/>
          <w:color w:val="0F172A"/>
          <w:sz w:val="64"/>
        </w:rPr>
        <w:t>HealthFlow</w:t>
      </w:r>
    </w:p>
    <w:p>
      <w:pPr>
        <w:spacing w:before="0" w:after="480"/>
        <w:jc w:val="center"/>
      </w:pPr>
      <w:r>
        <w:rPr>
          <w:rFonts w:ascii="Calibri" w:hAnsi="Calibri"/>
          <w:color w:val="0369A1"/>
          <w:sz w:val="30"/>
        </w:rPr>
        <w:t>Hospital Patient Flow Analytics &amp; Waiting-Time Prediction</w:t>
        <w:br/>
        <w:t>Turning Patient Flow Data into Actionable Healthcare Insights</w:t>
      </w:r>
    </w:p>
    <w:p>
      <w:pPr>
        <w:spacing w:before="200" w:after="800"/>
        <w:jc w:val="center"/>
      </w:pPr>
      <w:r>
        <w:rPr>
          <w:color w:val="0284C7"/>
        </w:rPr>
        <w:t>——————————————————————————————</w:t>
      </w:r>
    </w:p>
    <w:p>
      <w:pPr>
        <w:spacing w:before="600" w:after="80"/>
        <w:jc w:val="center"/>
      </w:pPr>
      <w:r>
        <w:rPr>
          <w:rFonts w:ascii="Calibri" w:hAnsi="Calibri"/>
          <w:b/>
          <w:sz w:val="24"/>
        </w:rPr>
        <w:t xml:space="preserve">Student Name: </w:t>
      </w:r>
      <w:r>
        <w:rPr>
          <w:rFonts w:ascii="Calibri" w:hAnsi="Calibri"/>
          <w:b/>
          <w:color w:val="0284C7"/>
          <w:sz w:val="24"/>
        </w:rPr>
        <w:t>Rohan</w:t>
        <w:br/>
      </w:r>
      <w:r>
        <w:rPr>
          <w:rFonts w:ascii="Calibri" w:hAnsi="Calibri"/>
          <w:b/>
          <w:sz w:val="22"/>
        </w:rPr>
        <w:t xml:space="preserve">Project Name: </w:t>
      </w:r>
      <w:r>
        <w:rPr>
          <w:rFonts w:ascii="Calibri" w:hAnsi="Calibri"/>
          <w:sz w:val="22"/>
        </w:rPr>
        <w:t>HealthFlow</w:t>
        <w:br/>
      </w:r>
      <w:r>
        <w:rPr>
          <w:rFonts w:ascii="Calibri" w:hAnsi="Calibri"/>
          <w:b/>
          <w:sz w:val="22"/>
        </w:rPr>
        <w:t xml:space="preserve">Internship Specialization: </w:t>
      </w:r>
      <w:r>
        <w:rPr>
          <w:rFonts w:ascii="Calibri" w:hAnsi="Calibri"/>
          <w:sz w:val="22"/>
        </w:rPr>
        <w:t>Data Analytics with AI</w:t>
        <w:br/>
      </w:r>
      <w:r>
        <w:rPr>
          <w:rFonts w:ascii="Calibri" w:hAnsi="Calibri"/>
          <w:b/>
          <w:sz w:val="22"/>
        </w:rPr>
        <w:t xml:space="preserve">Institutional Affiliation: </w:t>
      </w:r>
      <w:r>
        <w:rPr>
          <w:rFonts w:ascii="Calibri" w:hAnsi="Calibri"/>
          <w:sz w:val="22"/>
        </w:rPr>
        <w:t>BharatCares &amp; All India Council for Technical Education (AICTE)</w:t>
        <w:br/>
      </w:r>
      <w:r>
        <w:rPr>
          <w:rFonts w:ascii="Calibri" w:hAnsi="Calibri"/>
          <w:b/>
          <w:sz w:val="22"/>
        </w:rPr>
        <w:t xml:space="preserve">Academic Submission Date: </w:t>
      </w:r>
      <w:r>
        <w:rPr>
          <w:rFonts w:ascii="Calibri" w:hAnsi="Calibri"/>
          <w:sz w:val="22"/>
        </w:rPr>
        <w:t>September 2026</w:t>
        <w:br/>
      </w:r>
    </w:p>
    <w:p>
      <w:r>
        <w:br w:type="page"/>
      </w:r>
    </w:p>
    <w:p>
      <w:pPr>
        <w:pStyle w:val="Heading1"/>
        <w:keepNext/>
        <w:spacing w:before="320" w:after="120"/>
      </w:pPr>
      <w:r>
        <w:rPr>
          <w:rFonts w:ascii="Calibri" w:hAnsi="Calibri"/>
          <w:b/>
          <w:color w:val="0284C7"/>
          <w:sz w:val="34"/>
        </w:rPr>
        <w:t>1. Abstract</w:t>
      </w:r>
    </w:p>
    <w:p>
      <w:pPr>
        <w:spacing w:before="0" w:after="80" w:line="276" w:lineRule="auto"/>
      </w:pPr>
      <w:r>
        <w:rPr>
          <w:rFonts w:ascii="Calibri" w:hAnsi="Calibri"/>
          <w:color w:val="0F172A"/>
          <w:sz w:val="21"/>
        </w:rPr>
        <w:t>Hospital Emergency Departments (EDs) worldwide operate under intense operational strain caused by volatile patient arrival rates, queue congestion, and prolonged waiting times. HealthFlow is an end-to-end healthcare analytics and predictive machine-learning project designed to address this challenge by analyzing authentic operational patient-flow telemetry. Sourced from Alberta Health Services (AHS) and covering 18 emergency departments and urgent care centres across 4 health zones over a continuous 6-week operational window, the dataset comprises 66,197 raw telemetry observations and 59,663 cleaned, valid records.</w:t>
      </w:r>
    </w:p>
    <w:p>
      <w:pPr>
        <w:spacing w:before="0" w:after="80" w:line="276" w:lineRule="auto"/>
      </w:pPr>
      <w:r>
        <w:rPr>
          <w:rFonts w:ascii="Calibri" w:hAnsi="Calibri"/>
          <w:color w:val="0F172A"/>
          <w:sz w:val="21"/>
        </w:rPr>
        <w:t>Through a disciplined ETL pipeline, raw telemetry was cleaned of sentinel offline values (-1) and deduplicated. Leakage-free feature engineering was formulated strictly using information available at patient arrival, including temporal parameters, facility tiers, health zones, and concurrent system-wide workload strain. Exploratory data analysis revealed a profound 24-hour diurnal surge curve peaking in the late afternoon (17:00–19:00 at ~118 minutes) and reaching a daily nadir at 06:00 (~52 minutes), alongside wide disparities across operational tiers (academic tertiary centres averaging 120+ minutes versus community centres averaging under 60 minutes).</w:t>
      </w:r>
    </w:p>
    <w:p>
      <w:pPr>
        <w:spacing w:before="0" w:after="80" w:line="276" w:lineRule="auto"/>
      </w:pPr>
      <w:r>
        <w:rPr>
          <w:rFonts w:ascii="Calibri" w:hAnsi="Calibri"/>
          <w:color w:val="0F172A"/>
          <w:sz w:val="21"/>
        </w:rPr>
        <w:t>Using a strict chronological 80/20 train/test split (47,730 training records and 11,933 unseen test records), three regression architectures were benchmarked: Ridge Regression, Random Forest Regressor, and HistGradientBoostingRegressor. The Gradient Boosting model achieved superior generalization with a Test Mean Absolute Error (MAE) of 33.74 minutes, a Test Root Mean Squared Error (RMSE) of 45.18 minutes, and a Test R² score of 0.4293. The project deploys an interactive 7-module Streamlit clinical dashboard with real-time scenario simulation and automated executive report generation. HealthFlow equips healthcare administrators with empirical foresight to shift from reactive queuing to proactive clinical staffing and patient diversion.</w:t>
      </w:r>
    </w:p>
    <w:p>
      <w:pPr>
        <w:pStyle w:val="Heading1"/>
        <w:keepNext/>
        <w:spacing w:before="320" w:after="120"/>
      </w:pPr>
      <w:r>
        <w:rPr>
          <w:rFonts w:ascii="Calibri" w:hAnsi="Calibri"/>
          <w:b/>
          <w:color w:val="0284C7"/>
          <w:sz w:val="34"/>
        </w:rPr>
        <w:t>2. Introduction</w:t>
      </w:r>
    </w:p>
    <w:p>
      <w:pPr>
        <w:spacing w:before="0" w:after="80" w:line="276" w:lineRule="auto"/>
      </w:pPr>
      <w:r>
        <w:rPr>
          <w:rFonts w:ascii="Calibri" w:hAnsi="Calibri"/>
          <w:color w:val="0F172A"/>
          <w:sz w:val="21"/>
        </w:rPr>
        <w:t>Modern healthcare systems face an ongoing challenge: delivering timely, high-quality acute care while managing unpredictable patient demand and finite physical and clinical capacity. Hospital emergency departments serve as the critical frontline safety net. However, when inflow outpaces clinical evaluation throughput, queues expand exponentially, precipitating emergency department overcrowding (EDOC), prolonged ambulance offload delays, increased rates of patients leaving without being seen (LWBS), and heightened risk of adverse medical outcomes.</w:t>
      </w:r>
    </w:p>
    <w:p>
      <w:pPr>
        <w:spacing w:before="0" w:after="80" w:line="276" w:lineRule="auto"/>
      </w:pPr>
      <w:r>
        <w:rPr>
          <w:rFonts w:ascii="Calibri" w:hAnsi="Calibri"/>
          <w:color w:val="0F172A"/>
          <w:sz w:val="21"/>
        </w:rPr>
        <w:t>Historically, hospital management has relied on static, intuition-driven operational schedules, such as fixed eight-hour physician and nursing shifts that fail to match actual fluctuating patient arrival curves. In recent years, public healthcare authorities have begun logging high-frequency operational telemetry—recording estimated waiting times and queue conditions at regular 5-to-15-minute intervals for public transparency. This operational telemetry provides an unprecedented empirical foundation for healthcare data analytics and artificial intelligence.</w:t>
      </w:r>
    </w:p>
    <w:p>
      <w:pPr>
        <w:spacing w:before="0" w:after="80" w:line="276" w:lineRule="auto"/>
      </w:pPr>
      <w:r>
        <w:rPr>
          <w:rFonts w:ascii="Calibri" w:hAnsi="Calibri"/>
          <w:color w:val="0F172A"/>
          <w:sz w:val="21"/>
        </w:rPr>
        <w:t>The application of data analytics enables healthcare systems to uncover latent diurnal patterns, weekday-weekend variations, and facility-specific bottlenecks. Furthermore, machine learning provides the capability to move beyond retrospective reporting toward prospective estimation: predicting expected waiting times based on arrival hour, facility operational tier, day of week, and concurrent cross-facility health system strain. HealthFlow implements this complete lifecycle, turning raw patient-flow data into actionable healthcare intelligence.</w:t>
      </w:r>
    </w:p>
    <w:p>
      <w:pPr>
        <w:pStyle w:val="Heading1"/>
        <w:keepNext/>
        <w:spacing w:before="320" w:after="120"/>
      </w:pPr>
      <w:r>
        <w:rPr>
          <w:rFonts w:ascii="Calibri" w:hAnsi="Calibri"/>
          <w:b/>
          <w:color w:val="0284C7"/>
          <w:sz w:val="34"/>
        </w:rPr>
        <w:t>3. Problem Statement</w:t>
      </w:r>
    </w:p>
    <w:p>
      <w:pPr>
        <w:spacing w:before="0" w:after="80" w:line="276" w:lineRule="auto"/>
      </w:pPr>
      <w:r>
        <w:rPr>
          <w:rFonts w:ascii="Calibri" w:hAnsi="Calibri"/>
          <w:b/>
          <w:color w:val="0F172A"/>
          <w:sz w:val="21"/>
        </w:rPr>
        <w:t xml:space="preserve">Core Research Question: </w:t>
      </w:r>
      <w:r>
        <w:rPr>
          <w:rFonts w:ascii="Calibri" w:hAnsi="Calibri"/>
          <w:color w:val="0F172A"/>
          <w:sz w:val="21"/>
        </w:rPr>
        <w:t>The core operational challenge investigated in this project is articulated in the central research question:</w:t>
      </w:r>
    </w:p>
    <w:p>
      <w:pPr>
        <w:spacing w:before="80" w:after="160"/>
        <w:ind w:left="576" w:right="576"/>
      </w:pPr>
      <w:r>
        <w:rPr>
          <w:rFonts w:ascii="Calibri" w:hAnsi="Calibri"/>
          <w:i/>
          <w:color w:val="0369A1"/>
        </w:rPr>
        <w:t>"How can hospital patient-flow data be analyzed to identify waiting-time patterns, workload patterns, department congestion, and other operational factors, and how can machine learning be used to estimate expected patient waiting time?"</w:t>
      </w:r>
    </w:p>
    <w:p>
      <w:pPr>
        <w:spacing w:before="0" w:after="80" w:line="276" w:lineRule="auto"/>
      </w:pPr>
      <w:r>
        <w:rPr>
          <w:rFonts w:ascii="Calibri" w:hAnsi="Calibri"/>
          <w:color w:val="0F172A"/>
          <w:sz w:val="21"/>
        </w:rPr>
        <w:t>Emergency departments experience substantial, non-uniform variations in patient arrivals across different hours of the day, days of the week, and healthcare facility categories. Without accurate analytical modeling, hospitals experience misaligned clinical staffing, unpredictable queue spikes, and severe tail-risk delays where 90th percentile wait times exceed three to four hours. This study directly addresses this operational void by systematically analyzing patient-flow telemetry, isolating key operational drivers, and constructing a machine learning-based waiting-time estimation system.</w:t>
      </w:r>
    </w:p>
    <w:p>
      <w:pPr>
        <w:pStyle w:val="Heading1"/>
        <w:keepNext/>
        <w:spacing w:before="320" w:after="120"/>
      </w:pPr>
      <w:r>
        <w:rPr>
          <w:rFonts w:ascii="Calibri" w:hAnsi="Calibri"/>
          <w:b/>
          <w:color w:val="0284C7"/>
          <w:sz w:val="34"/>
        </w:rPr>
        <w:t>4. Objectives</w:t>
      </w:r>
    </w:p>
    <w:p>
      <w:pPr>
        <w:spacing w:before="0" w:after="80" w:line="276" w:lineRule="auto"/>
      </w:pPr>
      <w:r>
        <w:rPr>
          <w:rFonts w:ascii="Calibri" w:hAnsi="Calibri"/>
          <w:color w:val="0F172A"/>
          <w:sz w:val="21"/>
        </w:rPr>
        <w:t>To resolve the problem statement rigorously, the HealthFlow project established eight primary operational and analytical objectives:</w:t>
      </w:r>
    </w:p>
    <w:p>
      <w:pPr>
        <w:pStyle w:val="ListBullet"/>
        <w:spacing w:before="20" w:after="60" w:line="276" w:lineRule="auto"/>
      </w:pPr>
      <w:r>
        <w:t>1. Telemetry Ingestion: Ingest and validate 66,197 real-world operational records without data fabrication or synthetic generation.</w:t>
      </w:r>
    </w:p>
    <w:p>
      <w:pPr>
        <w:pStyle w:val="ListBullet"/>
        <w:spacing w:before="20" w:after="60" w:line="276" w:lineRule="auto"/>
      </w:pPr>
      <w:r>
        <w:rPr>
          <w:rFonts w:ascii="Calibri" w:hAnsi="Calibri"/>
          <w:b/>
          <w:color w:val="0F172A"/>
          <w:sz w:val="21"/>
        </w:rPr>
        <w:t xml:space="preserve">2. Data Quality Audit &amp; Cleaning: </w:t>
      </w:r>
      <w:r>
        <w:rPr>
          <w:rFonts w:ascii="Calibri" w:hAnsi="Calibri"/>
          <w:color w:val="0F172A"/>
          <w:sz w:val="21"/>
        </w:rPr>
        <w:t>Detect and filter sensor dropouts, facility closure sentinels (waitTime &lt; 0), duplicate timestamps, and standardize facility naming taxonomies.</w:t>
      </w:r>
    </w:p>
    <w:p>
      <w:pPr>
        <w:pStyle w:val="ListBullet"/>
        <w:spacing w:before="20" w:after="60" w:line="276" w:lineRule="auto"/>
      </w:pPr>
      <w:r>
        <w:rPr>
          <w:rFonts w:ascii="Calibri" w:hAnsi="Calibri"/>
          <w:b/>
          <w:color w:val="0F172A"/>
          <w:sz w:val="21"/>
        </w:rPr>
        <w:t xml:space="preserve">3. Leakage-Free Feature Engineering: </w:t>
      </w:r>
      <w:r>
        <w:rPr>
          <w:rFonts w:ascii="Calibri" w:hAnsi="Calibri"/>
          <w:color w:val="0F172A"/>
          <w:sz w:val="21"/>
        </w:rPr>
        <w:t>Derive temporal attributes, operational facility tiers, health zones, and cross-facility concurrent load metrics strictly available at arrival.</w:t>
      </w:r>
    </w:p>
    <w:p>
      <w:pPr>
        <w:pStyle w:val="ListBullet"/>
        <w:spacing w:before="20" w:after="60" w:line="276" w:lineRule="auto"/>
      </w:pPr>
      <w:r>
        <w:rPr>
          <w:rFonts w:ascii="Calibri" w:hAnsi="Calibri"/>
          <w:b/>
          <w:color w:val="0F172A"/>
          <w:sz w:val="21"/>
        </w:rPr>
        <w:t xml:space="preserve">4. Exploratory Data Analysis: </w:t>
      </w:r>
      <w:r>
        <w:rPr>
          <w:rFonts w:ascii="Calibri" w:hAnsi="Calibri"/>
          <w:color w:val="0F172A"/>
          <w:sz w:val="21"/>
        </w:rPr>
        <w:t>Quantify 24-hour diurnal curves, weekday versus weekend dynamics, and waiting-time percentile distributions (Median, IQR, P90).</w:t>
      </w:r>
    </w:p>
    <w:p>
      <w:pPr>
        <w:pStyle w:val="ListBullet"/>
        <w:spacing w:before="20" w:after="60" w:line="276" w:lineRule="auto"/>
      </w:pPr>
      <w:r>
        <w:rPr>
          <w:rFonts w:ascii="Calibri" w:hAnsi="Calibri"/>
          <w:b/>
          <w:color w:val="0F172A"/>
          <w:sz w:val="21"/>
        </w:rPr>
        <w:t xml:space="preserve">5. Departmental Workload Evaluation: </w:t>
      </w:r>
      <w:r>
        <w:rPr>
          <w:rFonts w:ascii="Calibri" w:hAnsi="Calibri"/>
          <w:color w:val="0F172A"/>
          <w:sz w:val="21"/>
        </w:rPr>
        <w:t>Analyze patient-flow load and waiting-time disparities across 18 emergency facilities ranging from pediatric and academic trauma hubs to rural centres.</w:t>
      </w:r>
    </w:p>
    <w:p>
      <w:pPr>
        <w:pStyle w:val="ListBullet"/>
        <w:spacing w:before="20" w:after="60" w:line="276" w:lineRule="auto"/>
      </w:pPr>
      <w:r>
        <w:rPr>
          <w:rFonts w:ascii="Calibri" w:hAnsi="Calibri"/>
          <w:b/>
          <w:color w:val="0F172A"/>
          <w:sz w:val="21"/>
        </w:rPr>
        <w:t xml:space="preserve">6. Predictive Machine Learning Modeling: </w:t>
      </w:r>
      <w:r>
        <w:rPr>
          <w:rFonts w:ascii="Calibri" w:hAnsi="Calibri"/>
          <w:color w:val="0F172A"/>
          <w:sz w:val="21"/>
        </w:rPr>
        <w:t>Train, benchmark, and cross-validate Ridge Regression, Random Forest, and HistGradientBoosting using an 80/20 chronological train/test split.</w:t>
      </w:r>
    </w:p>
    <w:p>
      <w:pPr>
        <w:pStyle w:val="ListBullet"/>
        <w:spacing w:before="20" w:after="60" w:line="276" w:lineRule="auto"/>
      </w:pPr>
      <w:r>
        <w:rPr>
          <w:rFonts w:ascii="Calibri" w:hAnsi="Calibri"/>
          <w:b/>
          <w:color w:val="0F172A"/>
          <w:sz w:val="21"/>
        </w:rPr>
        <w:t xml:space="preserve">7. Interactive Decision Dashboard: </w:t>
      </w:r>
      <w:r>
        <w:rPr>
          <w:rFonts w:ascii="Calibri" w:hAnsi="Calibri"/>
          <w:color w:val="0F172A"/>
          <w:sz w:val="21"/>
        </w:rPr>
        <w:t>Develop an interactive, multi-page clinical web application with 7 modules for real-time scenario prediction, workload analytics, and CSV data exploration.</w:t>
      </w:r>
    </w:p>
    <w:p>
      <w:pPr>
        <w:pStyle w:val="ListBullet"/>
        <w:spacing w:before="20" w:after="60" w:line="276" w:lineRule="auto"/>
      </w:pPr>
      <w:r>
        <w:rPr>
          <w:rFonts w:ascii="Calibri" w:hAnsi="Calibri"/>
          <w:b/>
          <w:color w:val="0F172A"/>
          <w:sz w:val="21"/>
        </w:rPr>
        <w:t xml:space="preserve">8. Translational Healthcare Insights: </w:t>
      </w:r>
      <w:r>
        <w:rPr>
          <w:rFonts w:ascii="Calibri" w:hAnsi="Calibri"/>
          <w:color w:val="0F172A"/>
          <w:sz w:val="21"/>
        </w:rPr>
        <w:t>Synthesize data-driven operational findings regarding shift alignment, regional patient diversion, and queue escalation triggers.</w:t>
      </w:r>
    </w:p>
    <w:p>
      <w:pPr>
        <w:pStyle w:val="Heading1"/>
        <w:keepNext/>
        <w:spacing w:before="320" w:after="120"/>
      </w:pPr>
      <w:r>
        <w:rPr>
          <w:rFonts w:ascii="Calibri" w:hAnsi="Calibri"/>
          <w:b/>
          <w:color w:val="0284C7"/>
          <w:sz w:val="34"/>
        </w:rPr>
        <w:t>5. Dataset</w:t>
      </w:r>
    </w:p>
    <w:p>
      <w:pPr>
        <w:spacing w:before="0" w:after="80" w:line="276" w:lineRule="auto"/>
      </w:pPr>
      <w:r>
        <w:rPr>
          <w:rFonts w:ascii="Calibri" w:hAnsi="Calibri"/>
          <w:color w:val="0F172A"/>
          <w:sz w:val="21"/>
        </w:rPr>
        <w:t>The foundation of the HealthFlow project is authentic operational telemetry collected from Alberta Health Services (AHS), the provincial health authority responsible for acute healthcare delivery across Alberta, Canada. The telemetry was curated and archived by S. R. Veale in the open repository srveale/emergency-wait-times.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0284C7"/>
            <w:tcMar>
              <w:top w:w="120" w:type="dxa"/>
              <w:bottom w:w="120" w:type="dxa"/>
              <w:left w:w="150" w:type="dxa"/>
              <w:right w:w="150" w:type="dxa"/>
            </w:tcMar>
          </w:tcPr>
          <w:p>
            <w:pPr>
              <w:jc w:val="left"/>
            </w:pPr>
            <w:r>
              <w:rPr>
                <w:rFonts w:ascii="Calibri" w:hAnsi="Calibri"/>
                <w:b/>
                <w:color w:val="FFFFFF"/>
                <w:sz w:val="20"/>
              </w:rPr>
              <w:t>Attribute</w:t>
            </w:r>
          </w:p>
        </w:tc>
        <w:tc>
          <w:tcPr>
            <w:tcW w:type="dxa" w:w="6192"/>
            <w:shd w:fill="0284C7"/>
            <w:tcMar>
              <w:top w:w="120" w:type="dxa"/>
              <w:bottom w:w="120" w:type="dxa"/>
              <w:left w:w="150" w:type="dxa"/>
              <w:right w:w="150" w:type="dxa"/>
            </w:tcMar>
          </w:tcPr>
          <w:p>
            <w:pPr>
              <w:jc w:val="left"/>
            </w:pPr>
            <w:r>
              <w:rPr>
                <w:rFonts w:ascii="Calibri" w:hAnsi="Calibri"/>
                <w:b/>
                <w:color w:val="FFFFFF"/>
                <w:sz w:val="20"/>
              </w:rPr>
              <w:t>Specification / Value</w:t>
            </w:r>
          </w:p>
        </w:tc>
      </w:tr>
      <w:tr>
        <w:tc>
          <w:tcPr>
            <w:tcW w:type="dxa" w:w="3168"/>
            <w:shd w:fill="FFFFFF"/>
            <w:tcMar>
              <w:top w:w="80" w:type="dxa"/>
              <w:bottom w:w="80" w:type="dxa"/>
              <w:left w:w="150" w:type="dxa"/>
              <w:right w:w="150" w:type="dxa"/>
            </w:tcMar>
          </w:tcPr>
          <w:p>
            <w:pPr>
              <w:jc w:val="left"/>
            </w:pPr>
            <w:r>
              <w:rPr>
                <w:rFonts w:ascii="Calibri" w:hAnsi="Calibri"/>
                <w:color w:val="0F172A"/>
                <w:sz w:val="19"/>
              </w:rPr>
              <w:t>Dataset Name</w:t>
            </w:r>
          </w:p>
        </w:tc>
        <w:tc>
          <w:tcPr>
            <w:tcW w:type="dxa" w:w="6192"/>
            <w:shd w:fill="FFFFFF"/>
            <w:tcMar>
              <w:top w:w="80" w:type="dxa"/>
              <w:bottom w:w="80" w:type="dxa"/>
              <w:left w:w="150" w:type="dxa"/>
              <w:right w:w="150" w:type="dxa"/>
            </w:tcMar>
          </w:tcPr>
          <w:p>
            <w:pPr>
              <w:jc w:val="left"/>
            </w:pPr>
            <w:r>
              <w:rPr>
                <w:rFonts w:ascii="Calibri" w:hAnsi="Calibri"/>
                <w:color w:val="0F172A"/>
                <w:sz w:val="19"/>
              </w:rPr>
              <w:t>Alberta Health Services Emergency Department Waiting-Times &amp; Flow Telemetry</w:t>
            </w:r>
          </w:p>
        </w:tc>
      </w:tr>
      <w:tr>
        <w:tc>
          <w:tcPr>
            <w:tcW w:type="dxa" w:w="3168"/>
            <w:shd w:fill="F1F5F9"/>
            <w:tcMar>
              <w:top w:w="80" w:type="dxa"/>
              <w:bottom w:w="80" w:type="dxa"/>
              <w:left w:w="150" w:type="dxa"/>
              <w:right w:w="150" w:type="dxa"/>
            </w:tcMar>
          </w:tcPr>
          <w:p>
            <w:pPr>
              <w:jc w:val="left"/>
            </w:pPr>
            <w:r>
              <w:rPr>
                <w:rFonts w:ascii="Calibri" w:hAnsi="Calibri"/>
                <w:color w:val="0F172A"/>
                <w:sz w:val="19"/>
              </w:rPr>
              <w:t>Primary Authority</w:t>
            </w:r>
          </w:p>
        </w:tc>
        <w:tc>
          <w:tcPr>
            <w:tcW w:type="dxa" w:w="6192"/>
            <w:shd w:fill="F1F5F9"/>
            <w:tcMar>
              <w:top w:w="80" w:type="dxa"/>
              <w:bottom w:w="80" w:type="dxa"/>
              <w:left w:w="150" w:type="dxa"/>
              <w:right w:w="150" w:type="dxa"/>
            </w:tcMar>
          </w:tcPr>
          <w:p>
            <w:pPr>
              <w:jc w:val="left"/>
            </w:pPr>
            <w:r>
              <w:rPr>
                <w:rFonts w:ascii="Calibri" w:hAnsi="Calibri"/>
                <w:color w:val="0F172A"/>
                <w:sz w:val="19"/>
              </w:rPr>
              <w:t>Alberta Health Services (Edmonton &amp; Calgary Zones, Alberta, Canada)</w:t>
            </w:r>
          </w:p>
        </w:tc>
      </w:tr>
      <w:tr>
        <w:tc>
          <w:tcPr>
            <w:tcW w:type="dxa" w:w="3168"/>
            <w:shd w:fill="FFFFFF"/>
            <w:tcMar>
              <w:top w:w="80" w:type="dxa"/>
              <w:bottom w:w="80" w:type="dxa"/>
              <w:left w:w="150" w:type="dxa"/>
              <w:right w:w="150" w:type="dxa"/>
            </w:tcMar>
          </w:tcPr>
          <w:p>
            <w:pPr>
              <w:jc w:val="left"/>
            </w:pPr>
            <w:r>
              <w:rPr>
                <w:rFonts w:ascii="Calibri" w:hAnsi="Calibri"/>
                <w:color w:val="0F172A"/>
                <w:sz w:val="19"/>
              </w:rPr>
              <w:t>Archival Repository</w:t>
            </w:r>
          </w:p>
        </w:tc>
        <w:tc>
          <w:tcPr>
            <w:tcW w:type="dxa" w:w="6192"/>
            <w:shd w:fill="FFFFFF"/>
            <w:tcMar>
              <w:top w:w="80" w:type="dxa"/>
              <w:bottom w:w="80" w:type="dxa"/>
              <w:left w:w="150" w:type="dxa"/>
              <w:right w:w="150" w:type="dxa"/>
            </w:tcMar>
          </w:tcPr>
          <w:p>
            <w:pPr>
              <w:jc w:val="left"/>
            </w:pPr>
            <w:r>
              <w:rPr>
                <w:rFonts w:ascii="Calibri" w:hAnsi="Calibri"/>
                <w:color w:val="0F172A"/>
                <w:sz w:val="19"/>
              </w:rPr>
              <w:t>https://github.com/srveale/emergency-wait-times</w:t>
            </w:r>
          </w:p>
        </w:tc>
      </w:tr>
      <w:tr>
        <w:tc>
          <w:tcPr>
            <w:tcW w:type="dxa" w:w="3168"/>
            <w:shd w:fill="F1F5F9"/>
            <w:tcMar>
              <w:top w:w="80" w:type="dxa"/>
              <w:bottom w:w="80" w:type="dxa"/>
              <w:left w:w="150" w:type="dxa"/>
              <w:right w:w="150" w:type="dxa"/>
            </w:tcMar>
          </w:tcPr>
          <w:p>
            <w:pPr>
              <w:jc w:val="left"/>
            </w:pPr>
            <w:r>
              <w:rPr>
                <w:rFonts w:ascii="Calibri" w:hAnsi="Calibri"/>
                <w:color w:val="0F172A"/>
                <w:sz w:val="19"/>
              </w:rPr>
              <w:t>Direct Source Data URL</w:t>
            </w:r>
          </w:p>
        </w:tc>
        <w:tc>
          <w:tcPr>
            <w:tcW w:type="dxa" w:w="6192"/>
            <w:shd w:fill="F1F5F9"/>
            <w:tcMar>
              <w:top w:w="80" w:type="dxa"/>
              <w:bottom w:w="80" w:type="dxa"/>
              <w:left w:w="150" w:type="dxa"/>
              <w:right w:w="150" w:type="dxa"/>
            </w:tcMar>
          </w:tcPr>
          <w:p>
            <w:pPr>
              <w:jc w:val="left"/>
            </w:pPr>
            <w:r>
              <w:rPr>
                <w:rFonts w:ascii="Calibri" w:hAnsi="Calibri"/>
                <w:color w:val="0F172A"/>
                <w:sz w:val="19"/>
              </w:rPr>
              <w:t>https://raw.githubusercontent.com/srveale/emergency-wait-times/master/EWT_DATA.csv</w:t>
            </w:r>
          </w:p>
        </w:tc>
      </w:tr>
      <w:tr>
        <w:tc>
          <w:tcPr>
            <w:tcW w:type="dxa" w:w="3168"/>
            <w:shd w:fill="FFFFFF"/>
            <w:tcMar>
              <w:top w:w="80" w:type="dxa"/>
              <w:bottom w:w="80" w:type="dxa"/>
              <w:left w:w="150" w:type="dxa"/>
              <w:right w:w="150" w:type="dxa"/>
            </w:tcMar>
          </w:tcPr>
          <w:p>
            <w:pPr>
              <w:jc w:val="left"/>
            </w:pPr>
            <w:r>
              <w:rPr>
                <w:rFonts w:ascii="Calibri" w:hAnsi="Calibri"/>
                <w:color w:val="0F172A"/>
                <w:sz w:val="19"/>
              </w:rPr>
              <w:t>Total Raw Records</w:t>
            </w:r>
          </w:p>
        </w:tc>
        <w:tc>
          <w:tcPr>
            <w:tcW w:type="dxa" w:w="6192"/>
            <w:shd w:fill="FFFFFF"/>
            <w:tcMar>
              <w:top w:w="80" w:type="dxa"/>
              <w:bottom w:w="80" w:type="dxa"/>
              <w:left w:w="150" w:type="dxa"/>
              <w:right w:w="150" w:type="dxa"/>
            </w:tcMar>
          </w:tcPr>
          <w:p>
            <w:pPr>
              <w:jc w:val="left"/>
            </w:pPr>
            <w:r>
              <w:rPr>
                <w:rFonts w:ascii="Calibri" w:hAnsi="Calibri"/>
                <w:color w:val="0F172A"/>
                <w:sz w:val="19"/>
              </w:rPr>
              <w:t>66,197 telemetry observations</w:t>
            </w:r>
          </w:p>
        </w:tc>
      </w:tr>
      <w:tr>
        <w:tc>
          <w:tcPr>
            <w:tcW w:type="dxa" w:w="3168"/>
            <w:shd w:fill="F1F5F9"/>
            <w:tcMar>
              <w:top w:w="80" w:type="dxa"/>
              <w:bottom w:w="80" w:type="dxa"/>
              <w:left w:w="150" w:type="dxa"/>
              <w:right w:w="150" w:type="dxa"/>
            </w:tcMar>
          </w:tcPr>
          <w:p>
            <w:pPr>
              <w:jc w:val="left"/>
            </w:pPr>
            <w:r>
              <w:rPr>
                <w:rFonts w:ascii="Calibri" w:hAnsi="Calibri"/>
                <w:color w:val="0F172A"/>
                <w:sz w:val="19"/>
              </w:rPr>
              <w:t>Total Cleaned Records</w:t>
            </w:r>
          </w:p>
        </w:tc>
        <w:tc>
          <w:tcPr>
            <w:tcW w:type="dxa" w:w="6192"/>
            <w:shd w:fill="F1F5F9"/>
            <w:tcMar>
              <w:top w:w="80" w:type="dxa"/>
              <w:bottom w:w="80" w:type="dxa"/>
              <w:left w:w="150" w:type="dxa"/>
              <w:right w:w="150" w:type="dxa"/>
            </w:tcMar>
          </w:tcPr>
          <w:p>
            <w:pPr>
              <w:jc w:val="left"/>
            </w:pPr>
            <w:r>
              <w:rPr>
                <w:rFonts w:ascii="Calibri" w:hAnsi="Calibri"/>
                <w:color w:val="0F172A"/>
                <w:sz w:val="19"/>
              </w:rPr>
              <w:t>59,663 observations (after removing -1 sentinels and duplicates)</w:t>
            </w:r>
          </w:p>
        </w:tc>
      </w:tr>
      <w:tr>
        <w:tc>
          <w:tcPr>
            <w:tcW w:type="dxa" w:w="3168"/>
            <w:shd w:fill="FFFFFF"/>
            <w:tcMar>
              <w:top w:w="80" w:type="dxa"/>
              <w:bottom w:w="80" w:type="dxa"/>
              <w:left w:w="150" w:type="dxa"/>
              <w:right w:w="150" w:type="dxa"/>
            </w:tcMar>
          </w:tcPr>
          <w:p>
            <w:pPr>
              <w:jc w:val="left"/>
            </w:pPr>
            <w:r>
              <w:rPr>
                <w:rFonts w:ascii="Calibri" w:hAnsi="Calibri"/>
                <w:color w:val="0F172A"/>
                <w:sz w:val="19"/>
              </w:rPr>
              <w:t>Total Raw Columns</w:t>
            </w:r>
          </w:p>
        </w:tc>
        <w:tc>
          <w:tcPr>
            <w:tcW w:type="dxa" w:w="6192"/>
            <w:shd w:fill="FFFFFF"/>
            <w:tcMar>
              <w:top w:w="80" w:type="dxa"/>
              <w:bottom w:w="80" w:type="dxa"/>
              <w:left w:w="150" w:type="dxa"/>
              <w:right w:w="150" w:type="dxa"/>
            </w:tcMar>
          </w:tcPr>
          <w:p>
            <w:pPr>
              <w:jc w:val="left"/>
            </w:pPr>
            <w:r>
              <w:rPr>
                <w:rFonts w:ascii="Calibri" w:hAnsi="Calibri"/>
                <w:color w:val="0F172A"/>
                <w:sz w:val="19"/>
              </w:rPr>
              <w:t>6 columns ('Unnamed: 0', 'waitTime', 'hospitalName', 'date', 'epochTime', 'ID')</w:t>
            </w:r>
          </w:p>
        </w:tc>
      </w:tr>
      <w:tr>
        <w:tc>
          <w:tcPr>
            <w:tcW w:type="dxa" w:w="3168"/>
            <w:shd w:fill="F1F5F9"/>
            <w:tcMar>
              <w:top w:w="80" w:type="dxa"/>
              <w:bottom w:w="80" w:type="dxa"/>
              <w:left w:w="150" w:type="dxa"/>
              <w:right w:w="150" w:type="dxa"/>
            </w:tcMar>
          </w:tcPr>
          <w:p>
            <w:pPr>
              <w:jc w:val="left"/>
            </w:pPr>
            <w:r>
              <w:rPr>
                <w:rFonts w:ascii="Calibri" w:hAnsi="Calibri"/>
                <w:color w:val="0F172A"/>
                <w:sz w:val="19"/>
              </w:rPr>
              <w:t>Target Variable</w:t>
            </w:r>
          </w:p>
        </w:tc>
        <w:tc>
          <w:tcPr>
            <w:tcW w:type="dxa" w:w="6192"/>
            <w:shd w:fill="F1F5F9"/>
            <w:tcMar>
              <w:top w:w="80" w:type="dxa"/>
              <w:bottom w:w="80" w:type="dxa"/>
              <w:left w:w="150" w:type="dxa"/>
              <w:right w:w="150" w:type="dxa"/>
            </w:tcMar>
          </w:tcPr>
          <w:p>
            <w:pPr>
              <w:jc w:val="left"/>
            </w:pPr>
            <w:r>
              <w:rPr>
                <w:rFonts w:ascii="Calibri" w:hAnsi="Calibri"/>
                <w:color w:val="0F172A"/>
                <w:sz w:val="19"/>
              </w:rPr>
              <w:t>waitTime (continuous minutes to evaluate by an emergency physician)</w:t>
            </w:r>
          </w:p>
        </w:tc>
      </w:tr>
      <w:tr>
        <w:tc>
          <w:tcPr>
            <w:tcW w:type="dxa" w:w="3168"/>
            <w:shd w:fill="FFFFFF"/>
            <w:tcMar>
              <w:top w:w="80" w:type="dxa"/>
              <w:bottom w:w="80" w:type="dxa"/>
              <w:left w:w="150" w:type="dxa"/>
              <w:right w:w="150" w:type="dxa"/>
            </w:tcMar>
          </w:tcPr>
          <w:p>
            <w:pPr>
              <w:jc w:val="left"/>
            </w:pPr>
            <w:r>
              <w:rPr>
                <w:rFonts w:ascii="Calibri" w:hAnsi="Calibri"/>
                <w:color w:val="0F172A"/>
                <w:sz w:val="19"/>
              </w:rPr>
              <w:t>Observation Frequency</w:t>
            </w:r>
          </w:p>
        </w:tc>
        <w:tc>
          <w:tcPr>
            <w:tcW w:type="dxa" w:w="6192"/>
            <w:shd w:fill="FFFFFF"/>
            <w:tcMar>
              <w:top w:w="80" w:type="dxa"/>
              <w:bottom w:w="80" w:type="dxa"/>
              <w:left w:w="150" w:type="dxa"/>
              <w:right w:w="150" w:type="dxa"/>
            </w:tcMar>
          </w:tcPr>
          <w:p>
            <w:pPr>
              <w:jc w:val="left"/>
            </w:pPr>
            <w:r>
              <w:rPr>
                <w:rFonts w:ascii="Calibri" w:hAnsi="Calibri"/>
                <w:color w:val="0F172A"/>
                <w:sz w:val="19"/>
              </w:rPr>
              <w:t>Automated telemetry polled at ~5-minute intervals across all active facilities</w:t>
            </w:r>
          </w:p>
        </w:tc>
      </w:tr>
      <w:tr>
        <w:tc>
          <w:tcPr>
            <w:tcW w:type="dxa" w:w="3168"/>
            <w:shd w:fill="F1F5F9"/>
            <w:tcMar>
              <w:top w:w="80" w:type="dxa"/>
              <w:bottom w:w="80" w:type="dxa"/>
              <w:left w:w="150" w:type="dxa"/>
              <w:right w:w="150" w:type="dxa"/>
            </w:tcMar>
          </w:tcPr>
          <w:p>
            <w:pPr>
              <w:jc w:val="left"/>
            </w:pPr>
            <w:r>
              <w:rPr>
                <w:rFonts w:ascii="Calibri" w:hAnsi="Calibri"/>
                <w:color w:val="0F172A"/>
                <w:sz w:val="19"/>
              </w:rPr>
              <w:t>Observation Window</w:t>
            </w:r>
          </w:p>
        </w:tc>
        <w:tc>
          <w:tcPr>
            <w:tcW w:type="dxa" w:w="6192"/>
            <w:shd w:fill="F1F5F9"/>
            <w:tcMar>
              <w:top w:w="80" w:type="dxa"/>
              <w:bottom w:w="80" w:type="dxa"/>
              <w:left w:w="150" w:type="dxa"/>
              <w:right w:w="150" w:type="dxa"/>
            </w:tcMar>
          </w:tcPr>
          <w:p>
            <w:pPr>
              <w:jc w:val="left"/>
            </w:pPr>
            <w:r>
              <w:rPr>
                <w:rFonts w:ascii="Calibri" w:hAnsi="Calibri"/>
                <w:color w:val="0F172A"/>
                <w:sz w:val="19"/>
              </w:rPr>
              <w:t>August 24, 2018 to October 04, 2018 (6 continuous weeks)</w:t>
            </w:r>
          </w:p>
        </w:tc>
      </w:tr>
      <w:tr>
        <w:tc>
          <w:tcPr>
            <w:tcW w:type="dxa" w:w="3168"/>
            <w:shd w:fill="FFFFFF"/>
            <w:tcMar>
              <w:top w:w="80" w:type="dxa"/>
              <w:bottom w:w="80" w:type="dxa"/>
              <w:left w:w="150" w:type="dxa"/>
              <w:right w:w="150" w:type="dxa"/>
            </w:tcMar>
          </w:tcPr>
          <w:p>
            <w:pPr>
              <w:jc w:val="left"/>
            </w:pPr>
            <w:r>
              <w:rPr>
                <w:rFonts w:ascii="Calibri" w:hAnsi="Calibri"/>
                <w:color w:val="0F172A"/>
                <w:sz w:val="19"/>
              </w:rPr>
              <w:t>Participating Facilities</w:t>
            </w:r>
          </w:p>
        </w:tc>
        <w:tc>
          <w:tcPr>
            <w:tcW w:type="dxa" w:w="6192"/>
            <w:shd w:fill="FFFFFF"/>
            <w:tcMar>
              <w:top w:w="80" w:type="dxa"/>
              <w:bottom w:w="80" w:type="dxa"/>
              <w:left w:w="150" w:type="dxa"/>
              <w:right w:w="150" w:type="dxa"/>
            </w:tcMar>
          </w:tcPr>
          <w:p>
            <w:pPr>
              <w:jc w:val="left"/>
            </w:pPr>
            <w:r>
              <w:rPr>
                <w:rFonts w:ascii="Calibri" w:hAnsi="Calibri"/>
                <w:color w:val="0F172A"/>
                <w:sz w:val="19"/>
              </w:rPr>
              <w:t>18 hospital emergency departments and urgent care centres</w:t>
            </w:r>
          </w:p>
        </w:tc>
      </w:tr>
      <w:tr>
        <w:tc>
          <w:tcPr>
            <w:tcW w:type="dxa" w:w="3168"/>
            <w:shd w:fill="F1F5F9"/>
            <w:tcMar>
              <w:top w:w="80" w:type="dxa"/>
              <w:bottom w:w="80" w:type="dxa"/>
              <w:left w:w="150" w:type="dxa"/>
              <w:right w:w="150" w:type="dxa"/>
            </w:tcMar>
          </w:tcPr>
          <w:p>
            <w:pPr>
              <w:jc w:val="left"/>
            </w:pPr>
            <w:r>
              <w:rPr>
                <w:rFonts w:ascii="Calibri" w:hAnsi="Calibri"/>
                <w:color w:val="0F172A"/>
                <w:sz w:val="19"/>
              </w:rPr>
              <w:t>License &amp; Privacy</w:t>
            </w:r>
          </w:p>
        </w:tc>
        <w:tc>
          <w:tcPr>
            <w:tcW w:type="dxa" w:w="6192"/>
            <w:shd w:fill="F1F5F9"/>
            <w:tcMar>
              <w:top w:w="80" w:type="dxa"/>
              <w:bottom w:w="80" w:type="dxa"/>
              <w:left w:w="150" w:type="dxa"/>
              <w:right w:w="150" w:type="dxa"/>
            </w:tcMar>
          </w:tcPr>
          <w:p>
            <w:pPr>
              <w:jc w:val="left"/>
            </w:pPr>
            <w:r>
              <w:rPr>
                <w:rFonts w:ascii="Calibri" w:hAnsi="Calibri"/>
                <w:color w:val="0F172A"/>
                <w:sz w:val="19"/>
              </w:rPr>
              <w:t>Open Public Sector Healthcare Transparency Information; 100% de-identified (No PHI)</w:t>
            </w:r>
          </w:p>
        </w:tc>
      </w:tr>
    </w:tbl>
    <w:p>
      <w:pPr>
        <w:spacing w:before="0" w:after="160" w:line="276" w:lineRule="auto"/>
      </w:pPr>
      <w:r>
        <w:rPr>
          <w:rFonts w:ascii="Calibri" w:hAnsi="Calibri"/>
          <w:b/>
          <w:color w:val="0F172A"/>
          <w:sz w:val="21"/>
        </w:rPr>
        <w:t xml:space="preserve">Source Note: </w:t>
      </w:r>
      <w:r>
        <w:rPr>
          <w:rFonts w:ascii="Calibri" w:hAnsi="Calibri"/>
          <w:color w:val="0F172A"/>
          <w:sz w:val="21"/>
        </w:rPr>
        <w:t>Table 1: Official HealthFlow dataset specifications and operational telemetry schema.</w:t>
      </w:r>
    </w:p>
    <w:p>
      <w:pPr>
        <w:pStyle w:val="Heading2"/>
        <w:keepNext/>
        <w:spacing w:before="240" w:after="80"/>
      </w:pPr>
      <w:r>
        <w:rPr>
          <w:rFonts w:ascii="Calibri" w:hAnsi="Calibri"/>
          <w:b/>
          <w:color w:val="0F172A"/>
          <w:sz w:val="26"/>
        </w:rPr>
        <w:t>5.1 Monitored Healthcare Facilities &amp; Taxonomy</w:t>
      </w:r>
    </w:p>
    <w:p>
      <w:pPr>
        <w:spacing w:before="0" w:after="80" w:line="276" w:lineRule="auto"/>
      </w:pPr>
      <w:r>
        <w:rPr>
          <w:rFonts w:ascii="Calibri" w:hAnsi="Calibri"/>
          <w:color w:val="0F172A"/>
          <w:sz w:val="21"/>
        </w:rPr>
        <w:t>To enable meaningful operational comparisons, the 18 participating healthcare facilities were classified into five operational tiers and four health zones based on clinical scope and geographical catchment: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3168"/>
            <w:shd w:fill="0284C7"/>
            <w:tcMar>
              <w:top w:w="120" w:type="dxa"/>
              <w:bottom w:w="120" w:type="dxa"/>
              <w:left w:w="150" w:type="dxa"/>
              <w:right w:w="150" w:type="dxa"/>
            </w:tcMar>
          </w:tcPr>
          <w:p>
            <w:pPr>
              <w:jc w:val="left"/>
            </w:pPr>
            <w:r>
              <w:rPr>
                <w:rFonts w:ascii="Calibri" w:hAnsi="Calibri"/>
                <w:b/>
                <w:color w:val="FFFFFF"/>
                <w:sz w:val="20"/>
              </w:rPr>
              <w:t>Facility Name</w:t>
            </w:r>
          </w:p>
        </w:tc>
        <w:tc>
          <w:tcPr>
            <w:tcW w:type="dxa" w:w="2160"/>
            <w:shd w:fill="0284C7"/>
            <w:tcMar>
              <w:top w:w="120" w:type="dxa"/>
              <w:bottom w:w="120" w:type="dxa"/>
              <w:left w:w="150" w:type="dxa"/>
              <w:right w:w="150" w:type="dxa"/>
            </w:tcMar>
          </w:tcPr>
          <w:p>
            <w:pPr>
              <w:jc w:val="left"/>
            </w:pPr>
            <w:r>
              <w:rPr>
                <w:rFonts w:ascii="Calibri" w:hAnsi="Calibri"/>
                <w:b/>
                <w:color w:val="FFFFFF"/>
                <w:sz w:val="20"/>
              </w:rPr>
              <w:t>Operational Tier</w:t>
            </w:r>
          </w:p>
        </w:tc>
        <w:tc>
          <w:tcPr>
            <w:tcW w:type="dxa" w:w="1728"/>
            <w:shd w:fill="0284C7"/>
            <w:tcMar>
              <w:top w:w="120" w:type="dxa"/>
              <w:bottom w:w="120" w:type="dxa"/>
              <w:left w:w="150" w:type="dxa"/>
              <w:right w:w="150" w:type="dxa"/>
            </w:tcMar>
          </w:tcPr>
          <w:p>
            <w:pPr>
              <w:jc w:val="left"/>
            </w:pPr>
            <w:r>
              <w:rPr>
                <w:rFonts w:ascii="Calibri" w:hAnsi="Calibri"/>
                <w:b/>
                <w:color w:val="FFFFFF"/>
                <w:sz w:val="20"/>
              </w:rPr>
              <w:t>Health Zone</w:t>
            </w:r>
          </w:p>
        </w:tc>
        <w:tc>
          <w:tcPr>
            <w:tcW w:type="dxa" w:w="2304"/>
            <w:shd w:fill="0284C7"/>
            <w:tcMar>
              <w:top w:w="120" w:type="dxa"/>
              <w:bottom w:w="120" w:type="dxa"/>
              <w:left w:w="150" w:type="dxa"/>
              <w:right w:w="150" w:type="dxa"/>
            </w:tcMar>
          </w:tcPr>
          <w:p>
            <w:pPr>
              <w:jc w:val="left"/>
            </w:pPr>
            <w:r>
              <w:rPr>
                <w:rFonts w:ascii="Calibri" w:hAnsi="Calibri"/>
                <w:b/>
                <w:color w:val="FFFFFF"/>
                <w:sz w:val="20"/>
              </w:rPr>
              <w:t>Role / Clinical Scope</w:t>
            </w:r>
          </w:p>
        </w:tc>
      </w:tr>
      <w:tr>
        <w:tc>
          <w:tcPr>
            <w:tcW w:type="dxa" w:w="3168"/>
            <w:shd w:fill="FFFFFF"/>
            <w:tcMar>
              <w:top w:w="80" w:type="dxa"/>
              <w:bottom w:w="80" w:type="dxa"/>
              <w:left w:w="150" w:type="dxa"/>
              <w:right w:w="150" w:type="dxa"/>
            </w:tcMar>
          </w:tcPr>
          <w:p>
            <w:pPr>
              <w:jc w:val="left"/>
            </w:pPr>
            <w:r>
              <w:rPr>
                <w:rFonts w:ascii="Calibri" w:hAnsi="Calibri"/>
                <w:color w:val="0F172A"/>
                <w:sz w:val="19"/>
              </w:rPr>
              <w:t>Alberta Children's Hospital</w:t>
            </w:r>
          </w:p>
        </w:tc>
        <w:tc>
          <w:tcPr>
            <w:tcW w:type="dxa" w:w="2160"/>
            <w:shd w:fill="FFFFFF"/>
            <w:tcMar>
              <w:top w:w="80" w:type="dxa"/>
              <w:bottom w:w="80" w:type="dxa"/>
              <w:left w:w="150" w:type="dxa"/>
              <w:right w:w="150" w:type="dxa"/>
            </w:tcMar>
          </w:tcPr>
          <w:p>
            <w:pPr>
              <w:jc w:val="left"/>
            </w:pPr>
            <w:r>
              <w:rPr>
                <w:rFonts w:ascii="Calibri" w:hAnsi="Calibri"/>
                <w:color w:val="0F172A"/>
                <w:sz w:val="19"/>
              </w:rPr>
              <w:t>Pediatric Emergency</w:t>
            </w:r>
          </w:p>
        </w:tc>
        <w:tc>
          <w:tcPr>
            <w:tcW w:type="dxa" w:w="1728"/>
            <w:shd w:fill="FFFFFF"/>
            <w:tcMar>
              <w:top w:w="80" w:type="dxa"/>
              <w:bottom w:w="80" w:type="dxa"/>
              <w:left w:w="150" w:type="dxa"/>
              <w:right w:w="150" w:type="dxa"/>
            </w:tcMar>
          </w:tcPr>
          <w:p>
            <w:pPr>
              <w:jc w:val="left"/>
            </w:pPr>
            <w:r>
              <w:rPr>
                <w:rFonts w:ascii="Calibri" w:hAnsi="Calibri"/>
                <w:color w:val="0F172A"/>
                <w:sz w:val="19"/>
              </w:rPr>
              <w:t>Calgary Zone</w:t>
            </w:r>
          </w:p>
        </w:tc>
        <w:tc>
          <w:tcPr>
            <w:tcW w:type="dxa" w:w="2304"/>
            <w:shd w:fill="FFFFFF"/>
            <w:tcMar>
              <w:top w:w="80" w:type="dxa"/>
              <w:bottom w:w="80" w:type="dxa"/>
              <w:left w:w="150" w:type="dxa"/>
              <w:right w:w="150" w:type="dxa"/>
            </w:tcMar>
          </w:tcPr>
          <w:p>
            <w:pPr>
              <w:jc w:val="left"/>
            </w:pPr>
            <w:r>
              <w:rPr>
                <w:rFonts w:ascii="Calibri" w:hAnsi="Calibri"/>
                <w:color w:val="0F172A"/>
                <w:sz w:val="19"/>
              </w:rPr>
              <w:t>Specialized tertiary pediatric acute care</w:t>
            </w:r>
          </w:p>
        </w:tc>
      </w:tr>
      <w:tr>
        <w:tc>
          <w:tcPr>
            <w:tcW w:type="dxa" w:w="3168"/>
            <w:shd w:fill="F1F5F9"/>
            <w:tcMar>
              <w:top w:w="80" w:type="dxa"/>
              <w:bottom w:w="80" w:type="dxa"/>
              <w:left w:w="150" w:type="dxa"/>
              <w:right w:w="150" w:type="dxa"/>
            </w:tcMar>
          </w:tcPr>
          <w:p>
            <w:pPr>
              <w:jc w:val="left"/>
            </w:pPr>
            <w:r>
              <w:rPr>
                <w:rFonts w:ascii="Calibri" w:hAnsi="Calibri"/>
                <w:color w:val="0F172A"/>
                <w:sz w:val="19"/>
              </w:rPr>
              <w:t>Stollery Children's Hospital</w:t>
            </w:r>
          </w:p>
        </w:tc>
        <w:tc>
          <w:tcPr>
            <w:tcW w:type="dxa" w:w="2160"/>
            <w:shd w:fill="F1F5F9"/>
            <w:tcMar>
              <w:top w:w="80" w:type="dxa"/>
              <w:bottom w:w="80" w:type="dxa"/>
              <w:left w:w="150" w:type="dxa"/>
              <w:right w:w="150" w:type="dxa"/>
            </w:tcMar>
          </w:tcPr>
          <w:p>
            <w:pPr>
              <w:jc w:val="left"/>
            </w:pPr>
            <w:r>
              <w:rPr>
                <w:rFonts w:ascii="Calibri" w:hAnsi="Calibri"/>
                <w:color w:val="0F172A"/>
                <w:sz w:val="19"/>
              </w:rPr>
              <w:t>Pediatric Emergency</w:t>
            </w:r>
          </w:p>
        </w:tc>
        <w:tc>
          <w:tcPr>
            <w:tcW w:type="dxa" w:w="1728"/>
            <w:shd w:fill="F1F5F9"/>
            <w:tcMar>
              <w:top w:w="80" w:type="dxa"/>
              <w:bottom w:w="80" w:type="dxa"/>
              <w:left w:w="150" w:type="dxa"/>
              <w:right w:w="150" w:type="dxa"/>
            </w:tcMar>
          </w:tcPr>
          <w:p>
            <w:pPr>
              <w:jc w:val="left"/>
            </w:pPr>
            <w:r>
              <w:rPr>
                <w:rFonts w:ascii="Calibri" w:hAnsi="Calibri"/>
                <w:color w:val="0F172A"/>
                <w:sz w:val="19"/>
              </w:rPr>
              <w:t>Edmonton Zone</w:t>
            </w:r>
          </w:p>
        </w:tc>
        <w:tc>
          <w:tcPr>
            <w:tcW w:type="dxa" w:w="2304"/>
            <w:shd w:fill="F1F5F9"/>
            <w:tcMar>
              <w:top w:w="80" w:type="dxa"/>
              <w:bottom w:w="80" w:type="dxa"/>
              <w:left w:w="150" w:type="dxa"/>
              <w:right w:w="150" w:type="dxa"/>
            </w:tcMar>
          </w:tcPr>
          <w:p>
            <w:pPr>
              <w:jc w:val="left"/>
            </w:pPr>
            <w:r>
              <w:rPr>
                <w:rFonts w:ascii="Calibri" w:hAnsi="Calibri"/>
                <w:color w:val="0F172A"/>
                <w:sz w:val="19"/>
              </w:rPr>
              <w:t>Specialized tertiary pediatric acute care</w:t>
            </w:r>
          </w:p>
        </w:tc>
      </w:tr>
      <w:tr>
        <w:tc>
          <w:tcPr>
            <w:tcW w:type="dxa" w:w="3168"/>
            <w:shd w:fill="FFFFFF"/>
            <w:tcMar>
              <w:top w:w="80" w:type="dxa"/>
              <w:bottom w:w="80" w:type="dxa"/>
              <w:left w:w="150" w:type="dxa"/>
              <w:right w:w="150" w:type="dxa"/>
            </w:tcMar>
          </w:tcPr>
          <w:p>
            <w:pPr>
              <w:jc w:val="left"/>
            </w:pPr>
            <w:r>
              <w:rPr>
                <w:rFonts w:ascii="Calibri" w:hAnsi="Calibri"/>
                <w:color w:val="0F172A"/>
                <w:sz w:val="19"/>
              </w:rPr>
              <w:t>Foothills Medical Centre</w:t>
            </w:r>
          </w:p>
        </w:tc>
        <w:tc>
          <w:tcPr>
            <w:tcW w:type="dxa" w:w="2160"/>
            <w:shd w:fill="FFFFFF"/>
            <w:tcMar>
              <w:top w:w="80" w:type="dxa"/>
              <w:bottom w:w="80" w:type="dxa"/>
              <w:left w:w="150" w:type="dxa"/>
              <w:right w:w="150" w:type="dxa"/>
            </w:tcMar>
          </w:tcPr>
          <w:p>
            <w:pPr>
              <w:jc w:val="left"/>
            </w:pPr>
            <w:r>
              <w:rPr>
                <w:rFonts w:ascii="Calibri" w:hAnsi="Calibri"/>
                <w:color w:val="0F172A"/>
                <w:sz w:val="19"/>
              </w:rPr>
              <w:t>Academic Tertiary Trauma</w:t>
            </w:r>
          </w:p>
        </w:tc>
        <w:tc>
          <w:tcPr>
            <w:tcW w:type="dxa" w:w="1728"/>
            <w:shd w:fill="FFFFFF"/>
            <w:tcMar>
              <w:top w:w="80" w:type="dxa"/>
              <w:bottom w:w="80" w:type="dxa"/>
              <w:left w:w="150" w:type="dxa"/>
              <w:right w:w="150" w:type="dxa"/>
            </w:tcMar>
          </w:tcPr>
          <w:p>
            <w:pPr>
              <w:jc w:val="left"/>
            </w:pPr>
            <w:r>
              <w:rPr>
                <w:rFonts w:ascii="Calibri" w:hAnsi="Calibri"/>
                <w:color w:val="0F172A"/>
                <w:sz w:val="19"/>
              </w:rPr>
              <w:t>Calgary Zone</w:t>
            </w:r>
          </w:p>
        </w:tc>
        <w:tc>
          <w:tcPr>
            <w:tcW w:type="dxa" w:w="2304"/>
            <w:shd w:fill="FFFFFF"/>
            <w:tcMar>
              <w:top w:w="80" w:type="dxa"/>
              <w:bottom w:w="80" w:type="dxa"/>
              <w:left w:w="150" w:type="dxa"/>
              <w:right w:w="150" w:type="dxa"/>
            </w:tcMar>
          </w:tcPr>
          <w:p>
            <w:pPr>
              <w:jc w:val="left"/>
            </w:pPr>
            <w:r>
              <w:rPr>
                <w:rFonts w:ascii="Calibri" w:hAnsi="Calibri"/>
                <w:color w:val="0F172A"/>
                <w:sz w:val="19"/>
              </w:rPr>
              <w:t>Level 1 adult trauma and research centre</w:t>
            </w:r>
          </w:p>
        </w:tc>
      </w:tr>
      <w:tr>
        <w:tc>
          <w:tcPr>
            <w:tcW w:type="dxa" w:w="3168"/>
            <w:shd w:fill="F1F5F9"/>
            <w:tcMar>
              <w:top w:w="80" w:type="dxa"/>
              <w:bottom w:w="80" w:type="dxa"/>
              <w:left w:w="150" w:type="dxa"/>
              <w:right w:w="150" w:type="dxa"/>
            </w:tcMar>
          </w:tcPr>
          <w:p>
            <w:pPr>
              <w:jc w:val="left"/>
            </w:pPr>
            <w:r>
              <w:rPr>
                <w:rFonts w:ascii="Calibri" w:hAnsi="Calibri"/>
                <w:color w:val="0F172A"/>
                <w:sz w:val="19"/>
              </w:rPr>
              <w:t>University of Alberta Hospital</w:t>
            </w:r>
          </w:p>
        </w:tc>
        <w:tc>
          <w:tcPr>
            <w:tcW w:type="dxa" w:w="2160"/>
            <w:shd w:fill="F1F5F9"/>
            <w:tcMar>
              <w:top w:w="80" w:type="dxa"/>
              <w:bottom w:w="80" w:type="dxa"/>
              <w:left w:w="150" w:type="dxa"/>
              <w:right w:w="150" w:type="dxa"/>
            </w:tcMar>
          </w:tcPr>
          <w:p>
            <w:pPr>
              <w:jc w:val="left"/>
            </w:pPr>
            <w:r>
              <w:rPr>
                <w:rFonts w:ascii="Calibri" w:hAnsi="Calibri"/>
                <w:color w:val="0F172A"/>
                <w:sz w:val="19"/>
              </w:rPr>
              <w:t>Academic Tertiary Trauma</w:t>
            </w:r>
          </w:p>
        </w:tc>
        <w:tc>
          <w:tcPr>
            <w:tcW w:type="dxa" w:w="1728"/>
            <w:shd w:fill="F1F5F9"/>
            <w:tcMar>
              <w:top w:w="80" w:type="dxa"/>
              <w:bottom w:w="80" w:type="dxa"/>
              <w:left w:w="150" w:type="dxa"/>
              <w:right w:w="150" w:type="dxa"/>
            </w:tcMar>
          </w:tcPr>
          <w:p>
            <w:pPr>
              <w:jc w:val="left"/>
            </w:pPr>
            <w:r>
              <w:rPr>
                <w:rFonts w:ascii="Calibri" w:hAnsi="Calibri"/>
                <w:color w:val="0F172A"/>
                <w:sz w:val="19"/>
              </w:rPr>
              <w:t>Edmonton Zone</w:t>
            </w:r>
          </w:p>
        </w:tc>
        <w:tc>
          <w:tcPr>
            <w:tcW w:type="dxa" w:w="2304"/>
            <w:shd w:fill="F1F5F9"/>
            <w:tcMar>
              <w:top w:w="80" w:type="dxa"/>
              <w:bottom w:w="80" w:type="dxa"/>
              <w:left w:w="150" w:type="dxa"/>
              <w:right w:w="150" w:type="dxa"/>
            </w:tcMar>
          </w:tcPr>
          <w:p>
            <w:pPr>
              <w:jc w:val="left"/>
            </w:pPr>
            <w:r>
              <w:rPr>
                <w:rFonts w:ascii="Calibri" w:hAnsi="Calibri"/>
                <w:color w:val="0F172A"/>
                <w:sz w:val="19"/>
              </w:rPr>
              <w:t>Level 1 multi-organ trauma and transplant centre</w:t>
            </w:r>
          </w:p>
        </w:tc>
      </w:tr>
      <w:tr>
        <w:tc>
          <w:tcPr>
            <w:tcW w:type="dxa" w:w="3168"/>
            <w:shd w:fill="FFFFFF"/>
            <w:tcMar>
              <w:top w:w="80" w:type="dxa"/>
              <w:bottom w:w="80" w:type="dxa"/>
              <w:left w:w="150" w:type="dxa"/>
              <w:right w:w="150" w:type="dxa"/>
            </w:tcMar>
          </w:tcPr>
          <w:p>
            <w:pPr>
              <w:jc w:val="left"/>
            </w:pPr>
            <w:r>
              <w:rPr>
                <w:rFonts w:ascii="Calibri" w:hAnsi="Calibri"/>
                <w:color w:val="0F172A"/>
                <w:sz w:val="19"/>
              </w:rPr>
              <w:t>Royal Alexandra Hospital</w:t>
            </w:r>
          </w:p>
        </w:tc>
        <w:tc>
          <w:tcPr>
            <w:tcW w:type="dxa" w:w="2160"/>
            <w:shd w:fill="FFFFFF"/>
            <w:tcMar>
              <w:top w:w="80" w:type="dxa"/>
              <w:bottom w:w="80" w:type="dxa"/>
              <w:left w:w="150" w:type="dxa"/>
              <w:right w:w="150" w:type="dxa"/>
            </w:tcMar>
          </w:tcPr>
          <w:p>
            <w:pPr>
              <w:jc w:val="left"/>
            </w:pPr>
            <w:r>
              <w:rPr>
                <w:rFonts w:ascii="Calibri" w:hAnsi="Calibri"/>
                <w:color w:val="0F172A"/>
                <w:sz w:val="19"/>
              </w:rPr>
              <w:t>Academic Tertiary Trauma</w:t>
            </w:r>
          </w:p>
        </w:tc>
        <w:tc>
          <w:tcPr>
            <w:tcW w:type="dxa" w:w="1728"/>
            <w:shd w:fill="FFFFFF"/>
            <w:tcMar>
              <w:top w:w="80" w:type="dxa"/>
              <w:bottom w:w="80" w:type="dxa"/>
              <w:left w:w="150" w:type="dxa"/>
              <w:right w:w="150" w:type="dxa"/>
            </w:tcMar>
          </w:tcPr>
          <w:p>
            <w:pPr>
              <w:jc w:val="left"/>
            </w:pPr>
            <w:r>
              <w:rPr>
                <w:rFonts w:ascii="Calibri" w:hAnsi="Calibri"/>
                <w:color w:val="0F172A"/>
                <w:sz w:val="19"/>
              </w:rPr>
              <w:t>Edmonton Zone</w:t>
            </w:r>
          </w:p>
        </w:tc>
        <w:tc>
          <w:tcPr>
            <w:tcW w:type="dxa" w:w="2304"/>
            <w:shd w:fill="FFFFFF"/>
            <w:tcMar>
              <w:top w:w="80" w:type="dxa"/>
              <w:bottom w:w="80" w:type="dxa"/>
              <w:left w:w="150" w:type="dxa"/>
              <w:right w:w="150" w:type="dxa"/>
            </w:tcMar>
          </w:tcPr>
          <w:p>
            <w:pPr>
              <w:jc w:val="left"/>
            </w:pPr>
            <w:r>
              <w:rPr>
                <w:rFonts w:ascii="Calibri" w:hAnsi="Calibri"/>
                <w:color w:val="0F172A"/>
                <w:sz w:val="19"/>
              </w:rPr>
              <w:t>Inner-city acute academic trauma centre</w:t>
            </w:r>
          </w:p>
        </w:tc>
      </w:tr>
      <w:tr>
        <w:tc>
          <w:tcPr>
            <w:tcW w:type="dxa" w:w="3168"/>
            <w:shd w:fill="F1F5F9"/>
            <w:tcMar>
              <w:top w:w="80" w:type="dxa"/>
              <w:bottom w:w="80" w:type="dxa"/>
              <w:left w:w="150" w:type="dxa"/>
              <w:right w:w="150" w:type="dxa"/>
            </w:tcMar>
          </w:tcPr>
          <w:p>
            <w:pPr>
              <w:jc w:val="left"/>
            </w:pPr>
            <w:r>
              <w:rPr>
                <w:rFonts w:ascii="Calibri" w:hAnsi="Calibri"/>
                <w:color w:val="0F172A"/>
                <w:sz w:val="19"/>
              </w:rPr>
              <w:t>Peter Lougheed Centre</w:t>
            </w:r>
          </w:p>
        </w:tc>
        <w:tc>
          <w:tcPr>
            <w:tcW w:type="dxa" w:w="2160"/>
            <w:shd w:fill="F1F5F9"/>
            <w:tcMar>
              <w:top w:w="80" w:type="dxa"/>
              <w:bottom w:w="80" w:type="dxa"/>
              <w:left w:w="150" w:type="dxa"/>
              <w:right w:w="150" w:type="dxa"/>
            </w:tcMar>
          </w:tcPr>
          <w:p>
            <w:pPr>
              <w:jc w:val="left"/>
            </w:pPr>
            <w:r>
              <w:rPr>
                <w:rFonts w:ascii="Calibri" w:hAnsi="Calibri"/>
                <w:color w:val="0F172A"/>
                <w:sz w:val="19"/>
              </w:rPr>
              <w:t>Acute Urban General</w:t>
            </w:r>
          </w:p>
        </w:tc>
        <w:tc>
          <w:tcPr>
            <w:tcW w:type="dxa" w:w="1728"/>
            <w:shd w:fill="F1F5F9"/>
            <w:tcMar>
              <w:top w:w="80" w:type="dxa"/>
              <w:bottom w:w="80" w:type="dxa"/>
              <w:left w:w="150" w:type="dxa"/>
              <w:right w:w="150" w:type="dxa"/>
            </w:tcMar>
          </w:tcPr>
          <w:p>
            <w:pPr>
              <w:jc w:val="left"/>
            </w:pPr>
            <w:r>
              <w:rPr>
                <w:rFonts w:ascii="Calibri" w:hAnsi="Calibri"/>
                <w:color w:val="0F172A"/>
                <w:sz w:val="19"/>
              </w:rPr>
              <w:t>Calgary Zone</w:t>
            </w:r>
          </w:p>
        </w:tc>
        <w:tc>
          <w:tcPr>
            <w:tcW w:type="dxa" w:w="2304"/>
            <w:shd w:fill="F1F5F9"/>
            <w:tcMar>
              <w:top w:w="80" w:type="dxa"/>
              <w:bottom w:w="80" w:type="dxa"/>
              <w:left w:w="150" w:type="dxa"/>
              <w:right w:w="150" w:type="dxa"/>
            </w:tcMar>
          </w:tcPr>
          <w:p>
            <w:pPr>
              <w:jc w:val="left"/>
            </w:pPr>
            <w:r>
              <w:rPr>
                <w:rFonts w:ascii="Calibri" w:hAnsi="Calibri"/>
                <w:color w:val="0F172A"/>
                <w:sz w:val="19"/>
              </w:rPr>
              <w:t>High-volume community urban general hospital</w:t>
            </w:r>
          </w:p>
        </w:tc>
      </w:tr>
      <w:tr>
        <w:tc>
          <w:tcPr>
            <w:tcW w:type="dxa" w:w="3168"/>
            <w:shd w:fill="FFFFFF"/>
            <w:tcMar>
              <w:top w:w="80" w:type="dxa"/>
              <w:bottom w:w="80" w:type="dxa"/>
              <w:left w:w="150" w:type="dxa"/>
              <w:right w:w="150" w:type="dxa"/>
            </w:tcMar>
          </w:tcPr>
          <w:p>
            <w:pPr>
              <w:jc w:val="left"/>
            </w:pPr>
            <w:r>
              <w:rPr>
                <w:rFonts w:ascii="Calibri" w:hAnsi="Calibri"/>
                <w:color w:val="0F172A"/>
                <w:sz w:val="19"/>
              </w:rPr>
              <w:t>Rockyview General Hospital</w:t>
            </w:r>
          </w:p>
        </w:tc>
        <w:tc>
          <w:tcPr>
            <w:tcW w:type="dxa" w:w="2160"/>
            <w:shd w:fill="FFFFFF"/>
            <w:tcMar>
              <w:top w:w="80" w:type="dxa"/>
              <w:bottom w:w="80" w:type="dxa"/>
              <w:left w:w="150" w:type="dxa"/>
              <w:right w:w="150" w:type="dxa"/>
            </w:tcMar>
          </w:tcPr>
          <w:p>
            <w:pPr>
              <w:jc w:val="left"/>
            </w:pPr>
            <w:r>
              <w:rPr>
                <w:rFonts w:ascii="Calibri" w:hAnsi="Calibri"/>
                <w:color w:val="0F172A"/>
                <w:sz w:val="19"/>
              </w:rPr>
              <w:t>Acute Urban General</w:t>
            </w:r>
          </w:p>
        </w:tc>
        <w:tc>
          <w:tcPr>
            <w:tcW w:type="dxa" w:w="1728"/>
            <w:shd w:fill="FFFFFF"/>
            <w:tcMar>
              <w:top w:w="80" w:type="dxa"/>
              <w:bottom w:w="80" w:type="dxa"/>
              <w:left w:w="150" w:type="dxa"/>
              <w:right w:w="150" w:type="dxa"/>
            </w:tcMar>
          </w:tcPr>
          <w:p>
            <w:pPr>
              <w:jc w:val="left"/>
            </w:pPr>
            <w:r>
              <w:rPr>
                <w:rFonts w:ascii="Calibri" w:hAnsi="Calibri"/>
                <w:color w:val="0F172A"/>
                <w:sz w:val="19"/>
              </w:rPr>
              <w:t>Calgary Zone</w:t>
            </w:r>
          </w:p>
        </w:tc>
        <w:tc>
          <w:tcPr>
            <w:tcW w:type="dxa" w:w="2304"/>
            <w:shd w:fill="FFFFFF"/>
            <w:tcMar>
              <w:top w:w="80" w:type="dxa"/>
              <w:bottom w:w="80" w:type="dxa"/>
              <w:left w:w="150" w:type="dxa"/>
              <w:right w:w="150" w:type="dxa"/>
            </w:tcMar>
          </w:tcPr>
          <w:p>
            <w:pPr>
              <w:jc w:val="left"/>
            </w:pPr>
            <w:r>
              <w:rPr>
                <w:rFonts w:ascii="Calibri" w:hAnsi="Calibri"/>
                <w:color w:val="0F172A"/>
                <w:sz w:val="19"/>
              </w:rPr>
              <w:t>Comprehensive acute care urban hospital</w:t>
            </w:r>
          </w:p>
        </w:tc>
      </w:tr>
      <w:tr>
        <w:tc>
          <w:tcPr>
            <w:tcW w:type="dxa" w:w="3168"/>
            <w:shd w:fill="F1F5F9"/>
            <w:tcMar>
              <w:top w:w="80" w:type="dxa"/>
              <w:bottom w:w="80" w:type="dxa"/>
              <w:left w:w="150" w:type="dxa"/>
              <w:right w:w="150" w:type="dxa"/>
            </w:tcMar>
          </w:tcPr>
          <w:p>
            <w:pPr>
              <w:jc w:val="left"/>
            </w:pPr>
            <w:r>
              <w:rPr>
                <w:rFonts w:ascii="Calibri" w:hAnsi="Calibri"/>
                <w:color w:val="0F172A"/>
                <w:sz w:val="19"/>
              </w:rPr>
              <w:t>South Health Campus</w:t>
            </w:r>
          </w:p>
        </w:tc>
        <w:tc>
          <w:tcPr>
            <w:tcW w:type="dxa" w:w="2160"/>
            <w:shd w:fill="F1F5F9"/>
            <w:tcMar>
              <w:top w:w="80" w:type="dxa"/>
              <w:bottom w:w="80" w:type="dxa"/>
              <w:left w:w="150" w:type="dxa"/>
              <w:right w:w="150" w:type="dxa"/>
            </w:tcMar>
          </w:tcPr>
          <w:p>
            <w:pPr>
              <w:jc w:val="left"/>
            </w:pPr>
            <w:r>
              <w:rPr>
                <w:rFonts w:ascii="Calibri" w:hAnsi="Calibri"/>
                <w:color w:val="0F172A"/>
                <w:sz w:val="19"/>
              </w:rPr>
              <w:t>Acute Urban General</w:t>
            </w:r>
          </w:p>
        </w:tc>
        <w:tc>
          <w:tcPr>
            <w:tcW w:type="dxa" w:w="1728"/>
            <w:shd w:fill="F1F5F9"/>
            <w:tcMar>
              <w:top w:w="80" w:type="dxa"/>
              <w:bottom w:w="80" w:type="dxa"/>
              <w:left w:w="150" w:type="dxa"/>
              <w:right w:w="150" w:type="dxa"/>
            </w:tcMar>
          </w:tcPr>
          <w:p>
            <w:pPr>
              <w:jc w:val="left"/>
            </w:pPr>
            <w:r>
              <w:rPr>
                <w:rFonts w:ascii="Calibri" w:hAnsi="Calibri"/>
                <w:color w:val="0F172A"/>
                <w:sz w:val="19"/>
              </w:rPr>
              <w:t>Calgary Zone</w:t>
            </w:r>
          </w:p>
        </w:tc>
        <w:tc>
          <w:tcPr>
            <w:tcW w:type="dxa" w:w="2304"/>
            <w:shd w:fill="F1F5F9"/>
            <w:tcMar>
              <w:top w:w="80" w:type="dxa"/>
              <w:bottom w:w="80" w:type="dxa"/>
              <w:left w:w="150" w:type="dxa"/>
              <w:right w:w="150" w:type="dxa"/>
            </w:tcMar>
          </w:tcPr>
          <w:p>
            <w:pPr>
              <w:jc w:val="left"/>
            </w:pPr>
            <w:r>
              <w:rPr>
                <w:rFonts w:ascii="Calibri" w:hAnsi="Calibri"/>
                <w:color w:val="0F172A"/>
                <w:sz w:val="19"/>
              </w:rPr>
              <w:t>Modern full-service urban health campus</w:t>
            </w:r>
          </w:p>
        </w:tc>
      </w:tr>
      <w:tr>
        <w:tc>
          <w:tcPr>
            <w:tcW w:type="dxa" w:w="3168"/>
            <w:shd w:fill="FFFFFF"/>
            <w:tcMar>
              <w:top w:w="80" w:type="dxa"/>
              <w:bottom w:w="80" w:type="dxa"/>
              <w:left w:w="150" w:type="dxa"/>
              <w:right w:w="150" w:type="dxa"/>
            </w:tcMar>
          </w:tcPr>
          <w:p>
            <w:pPr>
              <w:jc w:val="left"/>
            </w:pPr>
            <w:r>
              <w:rPr>
                <w:rFonts w:ascii="Calibri" w:hAnsi="Calibri"/>
                <w:color w:val="0F172A"/>
                <w:sz w:val="19"/>
              </w:rPr>
              <w:t>Misericordia Community Hospital</w:t>
            </w:r>
          </w:p>
        </w:tc>
        <w:tc>
          <w:tcPr>
            <w:tcW w:type="dxa" w:w="2160"/>
            <w:shd w:fill="FFFFFF"/>
            <w:tcMar>
              <w:top w:w="80" w:type="dxa"/>
              <w:bottom w:w="80" w:type="dxa"/>
              <w:left w:w="150" w:type="dxa"/>
              <w:right w:w="150" w:type="dxa"/>
            </w:tcMar>
          </w:tcPr>
          <w:p>
            <w:pPr>
              <w:jc w:val="left"/>
            </w:pPr>
            <w:r>
              <w:rPr>
                <w:rFonts w:ascii="Calibri" w:hAnsi="Calibri"/>
                <w:color w:val="0F172A"/>
                <w:sz w:val="19"/>
              </w:rPr>
              <w:t>Acute Urban General</w:t>
            </w:r>
          </w:p>
        </w:tc>
        <w:tc>
          <w:tcPr>
            <w:tcW w:type="dxa" w:w="1728"/>
            <w:shd w:fill="FFFFFF"/>
            <w:tcMar>
              <w:top w:w="80" w:type="dxa"/>
              <w:bottom w:w="80" w:type="dxa"/>
              <w:left w:w="150" w:type="dxa"/>
              <w:right w:w="150" w:type="dxa"/>
            </w:tcMar>
          </w:tcPr>
          <w:p>
            <w:pPr>
              <w:jc w:val="left"/>
            </w:pPr>
            <w:r>
              <w:rPr>
                <w:rFonts w:ascii="Calibri" w:hAnsi="Calibri"/>
                <w:color w:val="0F172A"/>
                <w:sz w:val="19"/>
              </w:rPr>
              <w:t>Edmonton Zone</w:t>
            </w:r>
          </w:p>
        </w:tc>
        <w:tc>
          <w:tcPr>
            <w:tcW w:type="dxa" w:w="2304"/>
            <w:shd w:fill="FFFFFF"/>
            <w:tcMar>
              <w:top w:w="80" w:type="dxa"/>
              <w:bottom w:w="80" w:type="dxa"/>
              <w:left w:w="150" w:type="dxa"/>
              <w:right w:w="150" w:type="dxa"/>
            </w:tcMar>
          </w:tcPr>
          <w:p>
            <w:pPr>
              <w:jc w:val="left"/>
            </w:pPr>
            <w:r>
              <w:rPr>
                <w:rFonts w:ascii="Calibri" w:hAnsi="Calibri"/>
                <w:color w:val="0F172A"/>
                <w:sz w:val="19"/>
              </w:rPr>
              <w:t>High-demand acute community general facility</w:t>
            </w:r>
          </w:p>
        </w:tc>
      </w:tr>
      <w:tr>
        <w:tc>
          <w:tcPr>
            <w:tcW w:type="dxa" w:w="3168"/>
            <w:shd w:fill="F1F5F9"/>
            <w:tcMar>
              <w:top w:w="80" w:type="dxa"/>
              <w:bottom w:w="80" w:type="dxa"/>
              <w:left w:w="150" w:type="dxa"/>
              <w:right w:w="150" w:type="dxa"/>
            </w:tcMar>
          </w:tcPr>
          <w:p>
            <w:pPr>
              <w:jc w:val="left"/>
            </w:pPr>
            <w:r>
              <w:rPr>
                <w:rFonts w:ascii="Calibri" w:hAnsi="Calibri"/>
                <w:color w:val="0F172A"/>
                <w:sz w:val="19"/>
              </w:rPr>
              <w:t>Grey Nuns Community Hospital</w:t>
            </w:r>
          </w:p>
        </w:tc>
        <w:tc>
          <w:tcPr>
            <w:tcW w:type="dxa" w:w="2160"/>
            <w:shd w:fill="F1F5F9"/>
            <w:tcMar>
              <w:top w:w="80" w:type="dxa"/>
              <w:bottom w:w="80" w:type="dxa"/>
              <w:left w:w="150" w:type="dxa"/>
              <w:right w:w="150" w:type="dxa"/>
            </w:tcMar>
          </w:tcPr>
          <w:p>
            <w:pPr>
              <w:jc w:val="left"/>
            </w:pPr>
            <w:r>
              <w:rPr>
                <w:rFonts w:ascii="Calibri" w:hAnsi="Calibri"/>
                <w:color w:val="0F172A"/>
                <w:sz w:val="19"/>
              </w:rPr>
              <w:t>Acute Urban General</w:t>
            </w:r>
          </w:p>
        </w:tc>
        <w:tc>
          <w:tcPr>
            <w:tcW w:type="dxa" w:w="1728"/>
            <w:shd w:fill="F1F5F9"/>
            <w:tcMar>
              <w:top w:w="80" w:type="dxa"/>
              <w:bottom w:w="80" w:type="dxa"/>
              <w:left w:w="150" w:type="dxa"/>
              <w:right w:w="150" w:type="dxa"/>
            </w:tcMar>
          </w:tcPr>
          <w:p>
            <w:pPr>
              <w:jc w:val="left"/>
            </w:pPr>
            <w:r>
              <w:rPr>
                <w:rFonts w:ascii="Calibri" w:hAnsi="Calibri"/>
                <w:color w:val="0F172A"/>
                <w:sz w:val="19"/>
              </w:rPr>
              <w:t>Edmonton Zone</w:t>
            </w:r>
          </w:p>
        </w:tc>
        <w:tc>
          <w:tcPr>
            <w:tcW w:type="dxa" w:w="2304"/>
            <w:shd w:fill="F1F5F9"/>
            <w:tcMar>
              <w:top w:w="80" w:type="dxa"/>
              <w:bottom w:w="80" w:type="dxa"/>
              <w:left w:w="150" w:type="dxa"/>
              <w:right w:w="150" w:type="dxa"/>
            </w:tcMar>
          </w:tcPr>
          <w:p>
            <w:pPr>
              <w:jc w:val="left"/>
            </w:pPr>
            <w:r>
              <w:rPr>
                <w:rFonts w:ascii="Calibri" w:hAnsi="Calibri"/>
                <w:color w:val="0F172A"/>
                <w:sz w:val="19"/>
              </w:rPr>
              <w:t>Acute medical-surgical general facility</w:t>
            </w:r>
          </w:p>
        </w:tc>
      </w:tr>
      <w:tr>
        <w:tc>
          <w:tcPr>
            <w:tcW w:type="dxa" w:w="3168"/>
            <w:shd w:fill="FFFFFF"/>
            <w:tcMar>
              <w:top w:w="80" w:type="dxa"/>
              <w:bottom w:w="80" w:type="dxa"/>
              <w:left w:w="150" w:type="dxa"/>
              <w:right w:w="150" w:type="dxa"/>
            </w:tcMar>
          </w:tcPr>
          <w:p>
            <w:pPr>
              <w:jc w:val="left"/>
            </w:pPr>
            <w:r>
              <w:rPr>
                <w:rFonts w:ascii="Calibri" w:hAnsi="Calibri"/>
                <w:color w:val="0F172A"/>
                <w:sz w:val="19"/>
              </w:rPr>
              <w:t>Sturgeon Community Hospital</w:t>
            </w:r>
          </w:p>
        </w:tc>
        <w:tc>
          <w:tcPr>
            <w:tcW w:type="dxa" w:w="2160"/>
            <w:shd w:fill="FFFFFF"/>
            <w:tcMar>
              <w:top w:w="80" w:type="dxa"/>
              <w:bottom w:w="80" w:type="dxa"/>
              <w:left w:w="150" w:type="dxa"/>
              <w:right w:w="150" w:type="dxa"/>
            </w:tcMar>
          </w:tcPr>
          <w:p>
            <w:pPr>
              <w:jc w:val="left"/>
            </w:pPr>
            <w:r>
              <w:rPr>
                <w:rFonts w:ascii="Calibri" w:hAnsi="Calibri"/>
                <w:color w:val="0F172A"/>
                <w:sz w:val="19"/>
              </w:rPr>
              <w:t>Community Hospital</w:t>
            </w:r>
          </w:p>
        </w:tc>
        <w:tc>
          <w:tcPr>
            <w:tcW w:type="dxa" w:w="1728"/>
            <w:shd w:fill="FFFFFF"/>
            <w:tcMar>
              <w:top w:w="80" w:type="dxa"/>
              <w:bottom w:w="80" w:type="dxa"/>
              <w:left w:w="150" w:type="dxa"/>
              <w:right w:w="150" w:type="dxa"/>
            </w:tcMar>
          </w:tcPr>
          <w:p>
            <w:pPr>
              <w:jc w:val="left"/>
            </w:pPr>
            <w:r>
              <w:rPr>
                <w:rFonts w:ascii="Calibri" w:hAnsi="Calibri"/>
                <w:color w:val="0F172A"/>
                <w:sz w:val="19"/>
              </w:rPr>
              <w:t>Edmonton Zone</w:t>
            </w:r>
          </w:p>
        </w:tc>
        <w:tc>
          <w:tcPr>
            <w:tcW w:type="dxa" w:w="2304"/>
            <w:shd w:fill="FFFFFF"/>
            <w:tcMar>
              <w:top w:w="80" w:type="dxa"/>
              <w:bottom w:w="80" w:type="dxa"/>
              <w:left w:w="150" w:type="dxa"/>
              <w:right w:w="150" w:type="dxa"/>
            </w:tcMar>
          </w:tcPr>
          <w:p>
            <w:pPr>
              <w:jc w:val="left"/>
            </w:pPr>
            <w:r>
              <w:rPr>
                <w:rFonts w:ascii="Calibri" w:hAnsi="Calibri"/>
                <w:color w:val="0F172A"/>
                <w:sz w:val="19"/>
              </w:rPr>
              <w:t>Suburban community hospital (St. Albert)</w:t>
            </w:r>
          </w:p>
        </w:tc>
      </w:tr>
      <w:tr>
        <w:tc>
          <w:tcPr>
            <w:tcW w:type="dxa" w:w="3168"/>
            <w:shd w:fill="F1F5F9"/>
            <w:tcMar>
              <w:top w:w="80" w:type="dxa"/>
              <w:bottom w:w="80" w:type="dxa"/>
              <w:left w:w="150" w:type="dxa"/>
              <w:right w:w="150" w:type="dxa"/>
            </w:tcMar>
          </w:tcPr>
          <w:p>
            <w:pPr>
              <w:jc w:val="left"/>
            </w:pPr>
            <w:r>
              <w:rPr>
                <w:rFonts w:ascii="Calibri" w:hAnsi="Calibri"/>
                <w:color w:val="0F172A"/>
                <w:sz w:val="19"/>
              </w:rPr>
              <w:t>Fort Sask Community Hospital</w:t>
            </w:r>
          </w:p>
        </w:tc>
        <w:tc>
          <w:tcPr>
            <w:tcW w:type="dxa" w:w="2160"/>
            <w:shd w:fill="F1F5F9"/>
            <w:tcMar>
              <w:top w:w="80" w:type="dxa"/>
              <w:bottom w:w="80" w:type="dxa"/>
              <w:left w:w="150" w:type="dxa"/>
              <w:right w:w="150" w:type="dxa"/>
            </w:tcMar>
          </w:tcPr>
          <w:p>
            <w:pPr>
              <w:jc w:val="left"/>
            </w:pPr>
            <w:r>
              <w:rPr>
                <w:rFonts w:ascii="Calibri" w:hAnsi="Calibri"/>
                <w:color w:val="0F172A"/>
                <w:sz w:val="19"/>
              </w:rPr>
              <w:t>Community Hospital</w:t>
            </w:r>
          </w:p>
        </w:tc>
        <w:tc>
          <w:tcPr>
            <w:tcW w:type="dxa" w:w="1728"/>
            <w:shd w:fill="F1F5F9"/>
            <w:tcMar>
              <w:top w:w="80" w:type="dxa"/>
              <w:bottom w:w="80" w:type="dxa"/>
              <w:left w:w="150" w:type="dxa"/>
              <w:right w:w="150" w:type="dxa"/>
            </w:tcMar>
          </w:tcPr>
          <w:p>
            <w:pPr>
              <w:jc w:val="left"/>
            </w:pPr>
            <w:r>
              <w:rPr>
                <w:rFonts w:ascii="Calibri" w:hAnsi="Calibri"/>
                <w:color w:val="0F172A"/>
                <w:sz w:val="19"/>
              </w:rPr>
              <w:t>Edmonton Zone</w:t>
            </w:r>
          </w:p>
        </w:tc>
        <w:tc>
          <w:tcPr>
            <w:tcW w:type="dxa" w:w="2304"/>
            <w:shd w:fill="F1F5F9"/>
            <w:tcMar>
              <w:top w:w="80" w:type="dxa"/>
              <w:bottom w:w="80" w:type="dxa"/>
              <w:left w:w="150" w:type="dxa"/>
              <w:right w:w="150" w:type="dxa"/>
            </w:tcMar>
          </w:tcPr>
          <w:p>
            <w:pPr>
              <w:jc w:val="left"/>
            </w:pPr>
            <w:r>
              <w:rPr>
                <w:rFonts w:ascii="Calibri" w:hAnsi="Calibri"/>
                <w:color w:val="0F172A"/>
                <w:sz w:val="19"/>
              </w:rPr>
              <w:t>Community acute inpatient hospital (Fort Sask)</w:t>
            </w:r>
          </w:p>
        </w:tc>
      </w:tr>
      <w:tr>
        <w:tc>
          <w:tcPr>
            <w:tcW w:type="dxa" w:w="3168"/>
            <w:shd w:fill="FFFFFF"/>
            <w:tcMar>
              <w:top w:w="80" w:type="dxa"/>
              <w:bottom w:w="80" w:type="dxa"/>
              <w:left w:w="150" w:type="dxa"/>
              <w:right w:w="150" w:type="dxa"/>
            </w:tcMar>
          </w:tcPr>
          <w:p>
            <w:pPr>
              <w:jc w:val="left"/>
            </w:pPr>
            <w:r>
              <w:rPr>
                <w:rFonts w:ascii="Calibri" w:hAnsi="Calibri"/>
                <w:color w:val="0F172A"/>
                <w:sz w:val="19"/>
              </w:rPr>
              <w:t>Leduc Community Hospital</w:t>
            </w:r>
          </w:p>
        </w:tc>
        <w:tc>
          <w:tcPr>
            <w:tcW w:type="dxa" w:w="2160"/>
            <w:shd w:fill="FFFFFF"/>
            <w:tcMar>
              <w:top w:w="80" w:type="dxa"/>
              <w:bottom w:w="80" w:type="dxa"/>
              <w:left w:w="150" w:type="dxa"/>
              <w:right w:w="150" w:type="dxa"/>
            </w:tcMar>
          </w:tcPr>
          <w:p>
            <w:pPr>
              <w:jc w:val="left"/>
            </w:pPr>
            <w:r>
              <w:rPr>
                <w:rFonts w:ascii="Calibri" w:hAnsi="Calibri"/>
                <w:color w:val="0F172A"/>
                <w:sz w:val="19"/>
              </w:rPr>
              <w:t>Community Hospital</w:t>
            </w:r>
          </w:p>
        </w:tc>
        <w:tc>
          <w:tcPr>
            <w:tcW w:type="dxa" w:w="1728"/>
            <w:shd w:fill="FFFFFF"/>
            <w:tcMar>
              <w:top w:w="80" w:type="dxa"/>
              <w:bottom w:w="80" w:type="dxa"/>
              <w:left w:w="150" w:type="dxa"/>
              <w:right w:w="150" w:type="dxa"/>
            </w:tcMar>
          </w:tcPr>
          <w:p>
            <w:pPr>
              <w:jc w:val="left"/>
            </w:pPr>
            <w:r>
              <w:rPr>
                <w:rFonts w:ascii="Calibri" w:hAnsi="Calibri"/>
                <w:color w:val="0F172A"/>
                <w:sz w:val="19"/>
              </w:rPr>
              <w:t>Edmonton Zone</w:t>
            </w:r>
          </w:p>
        </w:tc>
        <w:tc>
          <w:tcPr>
            <w:tcW w:type="dxa" w:w="2304"/>
            <w:shd w:fill="FFFFFF"/>
            <w:tcMar>
              <w:top w:w="80" w:type="dxa"/>
              <w:bottom w:w="80" w:type="dxa"/>
              <w:left w:w="150" w:type="dxa"/>
              <w:right w:w="150" w:type="dxa"/>
            </w:tcMar>
          </w:tcPr>
          <w:p>
            <w:pPr>
              <w:jc w:val="left"/>
            </w:pPr>
            <w:r>
              <w:rPr>
                <w:rFonts w:ascii="Calibri" w:hAnsi="Calibri"/>
                <w:color w:val="0F172A"/>
                <w:sz w:val="19"/>
              </w:rPr>
              <w:t>Regional community inpatient hospital (Leduc)</w:t>
            </w:r>
          </w:p>
        </w:tc>
      </w:tr>
      <w:tr>
        <w:tc>
          <w:tcPr>
            <w:tcW w:type="dxa" w:w="3168"/>
            <w:shd w:fill="F1F5F9"/>
            <w:tcMar>
              <w:top w:w="80" w:type="dxa"/>
              <w:bottom w:w="80" w:type="dxa"/>
              <w:left w:w="150" w:type="dxa"/>
              <w:right w:w="150" w:type="dxa"/>
            </w:tcMar>
          </w:tcPr>
          <w:p>
            <w:pPr>
              <w:jc w:val="left"/>
            </w:pPr>
            <w:r>
              <w:rPr>
                <w:rFonts w:ascii="Calibri" w:hAnsi="Calibri"/>
                <w:color w:val="0F172A"/>
                <w:sz w:val="19"/>
              </w:rPr>
              <w:t>Strathcona Community Hospital</w:t>
            </w:r>
          </w:p>
        </w:tc>
        <w:tc>
          <w:tcPr>
            <w:tcW w:type="dxa" w:w="2160"/>
            <w:shd w:fill="F1F5F9"/>
            <w:tcMar>
              <w:top w:w="80" w:type="dxa"/>
              <w:bottom w:w="80" w:type="dxa"/>
              <w:left w:w="150" w:type="dxa"/>
              <w:right w:w="150" w:type="dxa"/>
            </w:tcMar>
          </w:tcPr>
          <w:p>
            <w:pPr>
              <w:jc w:val="left"/>
            </w:pPr>
            <w:r>
              <w:rPr>
                <w:rFonts w:ascii="Calibri" w:hAnsi="Calibri"/>
                <w:color w:val="0F172A"/>
                <w:sz w:val="19"/>
              </w:rPr>
              <w:t>Community Ambulatory</w:t>
            </w:r>
          </w:p>
        </w:tc>
        <w:tc>
          <w:tcPr>
            <w:tcW w:type="dxa" w:w="1728"/>
            <w:shd w:fill="F1F5F9"/>
            <w:tcMar>
              <w:top w:w="80" w:type="dxa"/>
              <w:bottom w:w="80" w:type="dxa"/>
              <w:left w:w="150" w:type="dxa"/>
              <w:right w:w="150" w:type="dxa"/>
            </w:tcMar>
          </w:tcPr>
          <w:p>
            <w:pPr>
              <w:jc w:val="left"/>
            </w:pPr>
            <w:r>
              <w:rPr>
                <w:rFonts w:ascii="Calibri" w:hAnsi="Calibri"/>
                <w:color w:val="0F172A"/>
                <w:sz w:val="19"/>
              </w:rPr>
              <w:t>Edmonton Zone</w:t>
            </w:r>
          </w:p>
        </w:tc>
        <w:tc>
          <w:tcPr>
            <w:tcW w:type="dxa" w:w="2304"/>
            <w:shd w:fill="F1F5F9"/>
            <w:tcMar>
              <w:top w:w="80" w:type="dxa"/>
              <w:bottom w:w="80" w:type="dxa"/>
              <w:left w:w="150" w:type="dxa"/>
              <w:right w:w="150" w:type="dxa"/>
            </w:tcMar>
          </w:tcPr>
          <w:p>
            <w:pPr>
              <w:jc w:val="left"/>
            </w:pPr>
            <w:r>
              <w:rPr>
                <w:rFonts w:ascii="Calibri" w:hAnsi="Calibri"/>
                <w:color w:val="0F172A"/>
                <w:sz w:val="19"/>
              </w:rPr>
              <w:t>24/7 urgent care and ambulatory clinic</w:t>
            </w:r>
          </w:p>
        </w:tc>
      </w:tr>
      <w:tr>
        <w:tc>
          <w:tcPr>
            <w:tcW w:type="dxa" w:w="3168"/>
            <w:shd w:fill="FFFFFF"/>
            <w:tcMar>
              <w:top w:w="80" w:type="dxa"/>
              <w:bottom w:w="80" w:type="dxa"/>
              <w:left w:w="150" w:type="dxa"/>
              <w:right w:w="150" w:type="dxa"/>
            </w:tcMar>
          </w:tcPr>
          <w:p>
            <w:pPr>
              <w:jc w:val="left"/>
            </w:pPr>
            <w:r>
              <w:rPr>
                <w:rFonts w:ascii="Calibri" w:hAnsi="Calibri"/>
                <w:color w:val="0F172A"/>
                <w:sz w:val="19"/>
              </w:rPr>
              <w:t>WestView Health Centre</w:t>
            </w:r>
          </w:p>
        </w:tc>
        <w:tc>
          <w:tcPr>
            <w:tcW w:type="dxa" w:w="2160"/>
            <w:shd w:fill="FFFFFF"/>
            <w:tcMar>
              <w:top w:w="80" w:type="dxa"/>
              <w:bottom w:w="80" w:type="dxa"/>
              <w:left w:w="150" w:type="dxa"/>
              <w:right w:w="150" w:type="dxa"/>
            </w:tcMar>
          </w:tcPr>
          <w:p>
            <w:pPr>
              <w:jc w:val="left"/>
            </w:pPr>
            <w:r>
              <w:rPr>
                <w:rFonts w:ascii="Calibri" w:hAnsi="Calibri"/>
                <w:color w:val="0F172A"/>
                <w:sz w:val="19"/>
              </w:rPr>
              <w:t>Community Ambulatory</w:t>
            </w:r>
          </w:p>
        </w:tc>
        <w:tc>
          <w:tcPr>
            <w:tcW w:type="dxa" w:w="1728"/>
            <w:shd w:fill="FFFFFF"/>
            <w:tcMar>
              <w:top w:w="80" w:type="dxa"/>
              <w:bottom w:w="80" w:type="dxa"/>
              <w:left w:w="150" w:type="dxa"/>
              <w:right w:w="150" w:type="dxa"/>
            </w:tcMar>
          </w:tcPr>
          <w:p>
            <w:pPr>
              <w:jc w:val="left"/>
            </w:pPr>
            <w:r>
              <w:rPr>
                <w:rFonts w:ascii="Calibri" w:hAnsi="Calibri"/>
                <w:color w:val="0F172A"/>
                <w:sz w:val="19"/>
              </w:rPr>
              <w:t>Edmonton Zone</w:t>
            </w:r>
          </w:p>
        </w:tc>
        <w:tc>
          <w:tcPr>
            <w:tcW w:type="dxa" w:w="2304"/>
            <w:shd w:fill="FFFFFF"/>
            <w:tcMar>
              <w:top w:w="80" w:type="dxa"/>
              <w:bottom w:w="80" w:type="dxa"/>
              <w:left w:w="150" w:type="dxa"/>
              <w:right w:w="150" w:type="dxa"/>
            </w:tcMar>
          </w:tcPr>
          <w:p>
            <w:pPr>
              <w:jc w:val="left"/>
            </w:pPr>
            <w:r>
              <w:rPr>
                <w:rFonts w:ascii="Calibri" w:hAnsi="Calibri"/>
                <w:color w:val="0F172A"/>
                <w:sz w:val="19"/>
              </w:rPr>
              <w:t>Ambulatory and urgent care health centre</w:t>
            </w:r>
          </w:p>
        </w:tc>
      </w:tr>
      <w:tr>
        <w:tc>
          <w:tcPr>
            <w:tcW w:type="dxa" w:w="3168"/>
            <w:shd w:fill="F1F5F9"/>
            <w:tcMar>
              <w:top w:w="80" w:type="dxa"/>
              <w:bottom w:w="80" w:type="dxa"/>
              <w:left w:w="150" w:type="dxa"/>
              <w:right w:w="150" w:type="dxa"/>
            </w:tcMar>
          </w:tcPr>
          <w:p>
            <w:pPr>
              <w:jc w:val="left"/>
            </w:pPr>
            <w:r>
              <w:rPr>
                <w:rFonts w:ascii="Calibri" w:hAnsi="Calibri"/>
                <w:color w:val="0F172A"/>
                <w:sz w:val="19"/>
              </w:rPr>
              <w:t>Northeast Community Health Centre</w:t>
            </w:r>
          </w:p>
        </w:tc>
        <w:tc>
          <w:tcPr>
            <w:tcW w:type="dxa" w:w="2160"/>
            <w:shd w:fill="F1F5F9"/>
            <w:tcMar>
              <w:top w:w="80" w:type="dxa"/>
              <w:bottom w:w="80" w:type="dxa"/>
              <w:left w:w="150" w:type="dxa"/>
              <w:right w:w="150" w:type="dxa"/>
            </w:tcMar>
          </w:tcPr>
          <w:p>
            <w:pPr>
              <w:jc w:val="left"/>
            </w:pPr>
            <w:r>
              <w:rPr>
                <w:rFonts w:ascii="Calibri" w:hAnsi="Calibri"/>
                <w:color w:val="0F172A"/>
                <w:sz w:val="19"/>
              </w:rPr>
              <w:t>Community Ambulatory</w:t>
            </w:r>
          </w:p>
        </w:tc>
        <w:tc>
          <w:tcPr>
            <w:tcW w:type="dxa" w:w="1728"/>
            <w:shd w:fill="F1F5F9"/>
            <w:tcMar>
              <w:top w:w="80" w:type="dxa"/>
              <w:bottom w:w="80" w:type="dxa"/>
              <w:left w:w="150" w:type="dxa"/>
              <w:right w:w="150" w:type="dxa"/>
            </w:tcMar>
          </w:tcPr>
          <w:p>
            <w:pPr>
              <w:jc w:val="left"/>
            </w:pPr>
            <w:r>
              <w:rPr>
                <w:rFonts w:ascii="Calibri" w:hAnsi="Calibri"/>
                <w:color w:val="0F172A"/>
                <w:sz w:val="19"/>
              </w:rPr>
              <w:t>Edmonton Zone</w:t>
            </w:r>
          </w:p>
        </w:tc>
        <w:tc>
          <w:tcPr>
            <w:tcW w:type="dxa" w:w="2304"/>
            <w:shd w:fill="F1F5F9"/>
            <w:tcMar>
              <w:top w:w="80" w:type="dxa"/>
              <w:bottom w:w="80" w:type="dxa"/>
              <w:left w:w="150" w:type="dxa"/>
              <w:right w:w="150" w:type="dxa"/>
            </w:tcMar>
          </w:tcPr>
          <w:p>
            <w:pPr>
              <w:jc w:val="left"/>
            </w:pPr>
            <w:r>
              <w:rPr>
                <w:rFonts w:ascii="Calibri" w:hAnsi="Calibri"/>
                <w:color w:val="0F172A"/>
                <w:sz w:val="19"/>
              </w:rPr>
              <w:t>Urban outpatient health and urgent care</w:t>
            </w:r>
          </w:p>
        </w:tc>
      </w:tr>
      <w:tr>
        <w:tc>
          <w:tcPr>
            <w:tcW w:type="dxa" w:w="3168"/>
            <w:shd w:fill="FFFFFF"/>
            <w:tcMar>
              <w:top w:w="80" w:type="dxa"/>
              <w:bottom w:w="80" w:type="dxa"/>
              <w:left w:w="150" w:type="dxa"/>
              <w:right w:w="150" w:type="dxa"/>
            </w:tcMar>
          </w:tcPr>
          <w:p>
            <w:pPr>
              <w:jc w:val="left"/>
            </w:pPr>
            <w:r>
              <w:rPr>
                <w:rFonts w:ascii="Calibri" w:hAnsi="Calibri"/>
                <w:color w:val="0F172A"/>
                <w:sz w:val="19"/>
              </w:rPr>
              <w:t>Chinook Regional Hospital</w:t>
            </w:r>
          </w:p>
        </w:tc>
        <w:tc>
          <w:tcPr>
            <w:tcW w:type="dxa" w:w="2160"/>
            <w:shd w:fill="FFFFFF"/>
            <w:tcMar>
              <w:top w:w="80" w:type="dxa"/>
              <w:bottom w:w="80" w:type="dxa"/>
              <w:left w:w="150" w:type="dxa"/>
              <w:right w:w="150" w:type="dxa"/>
            </w:tcMar>
          </w:tcPr>
          <w:p>
            <w:pPr>
              <w:jc w:val="left"/>
            </w:pPr>
            <w:r>
              <w:rPr>
                <w:rFonts w:ascii="Calibri" w:hAnsi="Calibri"/>
                <w:color w:val="0F172A"/>
                <w:sz w:val="19"/>
              </w:rPr>
              <w:t>Regional Centre</w:t>
            </w:r>
          </w:p>
        </w:tc>
        <w:tc>
          <w:tcPr>
            <w:tcW w:type="dxa" w:w="1728"/>
            <w:shd w:fill="FFFFFF"/>
            <w:tcMar>
              <w:top w:w="80" w:type="dxa"/>
              <w:bottom w:w="80" w:type="dxa"/>
              <w:left w:w="150" w:type="dxa"/>
              <w:right w:w="150" w:type="dxa"/>
            </w:tcMar>
          </w:tcPr>
          <w:p>
            <w:pPr>
              <w:jc w:val="left"/>
            </w:pPr>
            <w:r>
              <w:rPr>
                <w:rFonts w:ascii="Calibri" w:hAnsi="Calibri"/>
                <w:color w:val="0F172A"/>
                <w:sz w:val="19"/>
              </w:rPr>
              <w:t>South Zone</w:t>
            </w:r>
          </w:p>
        </w:tc>
        <w:tc>
          <w:tcPr>
            <w:tcW w:type="dxa" w:w="2304"/>
            <w:shd w:fill="FFFFFF"/>
            <w:tcMar>
              <w:top w:w="80" w:type="dxa"/>
              <w:bottom w:w="80" w:type="dxa"/>
              <w:left w:w="150" w:type="dxa"/>
              <w:right w:w="150" w:type="dxa"/>
            </w:tcMar>
          </w:tcPr>
          <w:p>
            <w:pPr>
              <w:jc w:val="left"/>
            </w:pPr>
            <w:r>
              <w:rPr>
                <w:rFonts w:ascii="Calibri" w:hAnsi="Calibri"/>
                <w:color w:val="0F172A"/>
                <w:sz w:val="19"/>
              </w:rPr>
              <w:t>Primary acute referral centre for Southern Alberta</w:t>
            </w:r>
          </w:p>
        </w:tc>
      </w:tr>
      <w:tr>
        <w:tc>
          <w:tcPr>
            <w:tcW w:type="dxa" w:w="3168"/>
            <w:shd w:fill="F1F5F9"/>
            <w:tcMar>
              <w:top w:w="80" w:type="dxa"/>
              <w:bottom w:w="80" w:type="dxa"/>
              <w:left w:w="150" w:type="dxa"/>
              <w:right w:w="150" w:type="dxa"/>
            </w:tcMar>
          </w:tcPr>
          <w:p>
            <w:pPr>
              <w:jc w:val="left"/>
            </w:pPr>
            <w:r>
              <w:rPr>
                <w:rFonts w:ascii="Calibri" w:hAnsi="Calibri"/>
                <w:color w:val="0F172A"/>
                <w:sz w:val="19"/>
              </w:rPr>
              <w:t>Medicine Hat Regional Hospital</w:t>
            </w:r>
          </w:p>
        </w:tc>
        <w:tc>
          <w:tcPr>
            <w:tcW w:type="dxa" w:w="2160"/>
            <w:shd w:fill="F1F5F9"/>
            <w:tcMar>
              <w:top w:w="80" w:type="dxa"/>
              <w:bottom w:w="80" w:type="dxa"/>
              <w:left w:w="150" w:type="dxa"/>
              <w:right w:w="150" w:type="dxa"/>
            </w:tcMar>
          </w:tcPr>
          <w:p>
            <w:pPr>
              <w:jc w:val="left"/>
            </w:pPr>
            <w:r>
              <w:rPr>
                <w:rFonts w:ascii="Calibri" w:hAnsi="Calibri"/>
                <w:color w:val="0F172A"/>
                <w:sz w:val="19"/>
              </w:rPr>
              <w:t>Regional Centre</w:t>
            </w:r>
          </w:p>
        </w:tc>
        <w:tc>
          <w:tcPr>
            <w:tcW w:type="dxa" w:w="1728"/>
            <w:shd w:fill="F1F5F9"/>
            <w:tcMar>
              <w:top w:w="80" w:type="dxa"/>
              <w:bottom w:w="80" w:type="dxa"/>
              <w:left w:w="150" w:type="dxa"/>
              <w:right w:w="150" w:type="dxa"/>
            </w:tcMar>
          </w:tcPr>
          <w:p>
            <w:pPr>
              <w:jc w:val="left"/>
            </w:pPr>
            <w:r>
              <w:rPr>
                <w:rFonts w:ascii="Calibri" w:hAnsi="Calibri"/>
                <w:color w:val="0F172A"/>
                <w:sz w:val="19"/>
              </w:rPr>
              <w:t>South Zone</w:t>
            </w:r>
          </w:p>
        </w:tc>
        <w:tc>
          <w:tcPr>
            <w:tcW w:type="dxa" w:w="2304"/>
            <w:shd w:fill="F1F5F9"/>
            <w:tcMar>
              <w:top w:w="80" w:type="dxa"/>
              <w:bottom w:w="80" w:type="dxa"/>
              <w:left w:w="150" w:type="dxa"/>
              <w:right w:w="150" w:type="dxa"/>
            </w:tcMar>
          </w:tcPr>
          <w:p>
            <w:pPr>
              <w:jc w:val="left"/>
            </w:pPr>
            <w:r>
              <w:rPr>
                <w:rFonts w:ascii="Calibri" w:hAnsi="Calibri"/>
                <w:color w:val="0F172A"/>
                <w:sz w:val="19"/>
              </w:rPr>
              <w:t>Regional acute referral hospital (Medicine Hat)</w:t>
            </w:r>
          </w:p>
        </w:tc>
      </w:tr>
      <w:tr>
        <w:tc>
          <w:tcPr>
            <w:tcW w:type="dxa" w:w="3168"/>
            <w:shd w:fill="FFFFFF"/>
            <w:tcMar>
              <w:top w:w="80" w:type="dxa"/>
              <w:bottom w:w="80" w:type="dxa"/>
              <w:left w:w="150" w:type="dxa"/>
              <w:right w:w="150" w:type="dxa"/>
            </w:tcMar>
          </w:tcPr>
          <w:p>
            <w:pPr>
              <w:jc w:val="left"/>
            </w:pPr>
            <w:r>
              <w:rPr>
                <w:rFonts w:ascii="Calibri" w:hAnsi="Calibri"/>
                <w:color w:val="0F172A"/>
                <w:sz w:val="19"/>
              </w:rPr>
              <w:t>Lacombe Hospital and Care Centre</w:t>
            </w:r>
          </w:p>
        </w:tc>
        <w:tc>
          <w:tcPr>
            <w:tcW w:type="dxa" w:w="2160"/>
            <w:shd w:fill="FFFFFF"/>
            <w:tcMar>
              <w:top w:w="80" w:type="dxa"/>
              <w:bottom w:w="80" w:type="dxa"/>
              <w:left w:w="150" w:type="dxa"/>
              <w:right w:w="150" w:type="dxa"/>
            </w:tcMar>
          </w:tcPr>
          <w:p>
            <w:pPr>
              <w:jc w:val="left"/>
            </w:pPr>
            <w:r>
              <w:rPr>
                <w:rFonts w:ascii="Calibri" w:hAnsi="Calibri"/>
                <w:color w:val="0F172A"/>
                <w:sz w:val="19"/>
              </w:rPr>
              <w:t>Rural Care Centre</w:t>
            </w:r>
          </w:p>
        </w:tc>
        <w:tc>
          <w:tcPr>
            <w:tcW w:type="dxa" w:w="1728"/>
            <w:shd w:fill="FFFFFF"/>
            <w:tcMar>
              <w:top w:w="80" w:type="dxa"/>
              <w:bottom w:w="80" w:type="dxa"/>
              <w:left w:w="150" w:type="dxa"/>
              <w:right w:w="150" w:type="dxa"/>
            </w:tcMar>
          </w:tcPr>
          <w:p>
            <w:pPr>
              <w:jc w:val="left"/>
            </w:pPr>
            <w:r>
              <w:rPr>
                <w:rFonts w:ascii="Calibri" w:hAnsi="Calibri"/>
                <w:color w:val="0F172A"/>
                <w:sz w:val="19"/>
              </w:rPr>
              <w:t>Central Zone</w:t>
            </w:r>
          </w:p>
        </w:tc>
        <w:tc>
          <w:tcPr>
            <w:tcW w:type="dxa" w:w="2304"/>
            <w:shd w:fill="FFFFFF"/>
            <w:tcMar>
              <w:top w:w="80" w:type="dxa"/>
              <w:bottom w:w="80" w:type="dxa"/>
              <w:left w:w="150" w:type="dxa"/>
              <w:right w:w="150" w:type="dxa"/>
            </w:tcMar>
          </w:tcPr>
          <w:p>
            <w:pPr>
              <w:jc w:val="left"/>
            </w:pPr>
            <w:r>
              <w:rPr>
                <w:rFonts w:ascii="Calibri" w:hAnsi="Calibri"/>
                <w:color w:val="0F172A"/>
                <w:sz w:val="19"/>
              </w:rPr>
              <w:t>Rural emergency outpatient health centre</w:t>
            </w:r>
          </w:p>
        </w:tc>
      </w:tr>
      <w:tr>
        <w:tc>
          <w:tcPr>
            <w:tcW w:type="dxa" w:w="3168"/>
            <w:shd w:fill="F1F5F9"/>
            <w:tcMar>
              <w:top w:w="80" w:type="dxa"/>
              <w:bottom w:w="80" w:type="dxa"/>
              <w:left w:w="150" w:type="dxa"/>
              <w:right w:w="150" w:type="dxa"/>
            </w:tcMar>
          </w:tcPr>
          <w:p>
            <w:pPr>
              <w:jc w:val="left"/>
            </w:pPr>
            <w:r>
              <w:rPr>
                <w:rFonts w:ascii="Calibri" w:hAnsi="Calibri"/>
                <w:color w:val="0F172A"/>
                <w:sz w:val="19"/>
              </w:rPr>
              <w:t>Innisfail Health Centre</w:t>
            </w:r>
          </w:p>
        </w:tc>
        <w:tc>
          <w:tcPr>
            <w:tcW w:type="dxa" w:w="2160"/>
            <w:shd w:fill="F1F5F9"/>
            <w:tcMar>
              <w:top w:w="80" w:type="dxa"/>
              <w:bottom w:w="80" w:type="dxa"/>
              <w:left w:w="150" w:type="dxa"/>
              <w:right w:w="150" w:type="dxa"/>
            </w:tcMar>
          </w:tcPr>
          <w:p>
            <w:pPr>
              <w:jc w:val="left"/>
            </w:pPr>
            <w:r>
              <w:rPr>
                <w:rFonts w:ascii="Calibri" w:hAnsi="Calibri"/>
                <w:color w:val="0F172A"/>
                <w:sz w:val="19"/>
              </w:rPr>
              <w:t>Rural Care Centre</w:t>
            </w:r>
          </w:p>
        </w:tc>
        <w:tc>
          <w:tcPr>
            <w:tcW w:type="dxa" w:w="1728"/>
            <w:shd w:fill="F1F5F9"/>
            <w:tcMar>
              <w:top w:w="80" w:type="dxa"/>
              <w:bottom w:w="80" w:type="dxa"/>
              <w:left w:w="150" w:type="dxa"/>
              <w:right w:w="150" w:type="dxa"/>
            </w:tcMar>
          </w:tcPr>
          <w:p>
            <w:pPr>
              <w:jc w:val="left"/>
            </w:pPr>
            <w:r>
              <w:rPr>
                <w:rFonts w:ascii="Calibri" w:hAnsi="Calibri"/>
                <w:color w:val="0F172A"/>
                <w:sz w:val="19"/>
              </w:rPr>
              <w:t>Central Zone</w:t>
            </w:r>
          </w:p>
        </w:tc>
        <w:tc>
          <w:tcPr>
            <w:tcW w:type="dxa" w:w="2304"/>
            <w:shd w:fill="F1F5F9"/>
            <w:tcMar>
              <w:top w:w="80" w:type="dxa"/>
              <w:bottom w:w="80" w:type="dxa"/>
              <w:left w:w="150" w:type="dxa"/>
              <w:right w:w="150" w:type="dxa"/>
            </w:tcMar>
          </w:tcPr>
          <w:p>
            <w:pPr>
              <w:jc w:val="left"/>
            </w:pPr>
            <w:r>
              <w:rPr>
                <w:rFonts w:ascii="Calibri" w:hAnsi="Calibri"/>
                <w:color w:val="0F172A"/>
                <w:sz w:val="19"/>
              </w:rPr>
              <w:t>Rural community emergency care centre</w:t>
            </w:r>
          </w:p>
        </w:tc>
      </w:tr>
    </w:tbl>
    <w:p>
      <w:pPr>
        <w:spacing w:before="0" w:after="160" w:line="276" w:lineRule="auto"/>
      </w:pPr>
      <w:r>
        <w:rPr>
          <w:rFonts w:ascii="Calibri" w:hAnsi="Calibri"/>
          <w:b/>
          <w:color w:val="0F172A"/>
          <w:sz w:val="21"/>
        </w:rPr>
        <w:t xml:space="preserve">Taxonomy Note: </w:t>
      </w:r>
      <w:r>
        <w:rPr>
          <w:rFonts w:ascii="Calibri" w:hAnsi="Calibri"/>
          <w:color w:val="0F172A"/>
          <w:sz w:val="21"/>
        </w:rPr>
        <w:t>Table 2: Monitored healthcare facilities categorized by operational tier and administrative health zone.</w:t>
      </w:r>
    </w:p>
    <w:p>
      <w:pPr>
        <w:pStyle w:val="Heading1"/>
        <w:keepNext/>
        <w:spacing w:before="320" w:after="120"/>
      </w:pPr>
      <w:r>
        <w:rPr>
          <w:rFonts w:ascii="Calibri" w:hAnsi="Calibri"/>
          <w:b/>
          <w:color w:val="0284C7"/>
          <w:sz w:val="34"/>
        </w:rPr>
        <w:t>6. Technologies Used</w:t>
      </w:r>
    </w:p>
    <w:p>
      <w:pPr>
        <w:spacing w:before="0" w:after="80" w:line="276" w:lineRule="auto"/>
      </w:pPr>
      <w:r>
        <w:rPr>
          <w:rFonts w:ascii="Calibri" w:hAnsi="Calibri"/>
          <w:color w:val="0F172A"/>
          <w:sz w:val="21"/>
        </w:rPr>
        <w:t>The HealthFlow application was implemented in a modern, lightweight, and robust Python data stack. Only verified dependencies were utilized:</w:t>
      </w:r>
    </w:p>
    <w:p>
      <w:pPr>
        <w:pStyle w:val="ListBullet"/>
        <w:spacing w:before="20" w:after="60" w:line="276" w:lineRule="auto"/>
      </w:pPr>
      <w:r>
        <w:rPr>
          <w:rFonts w:ascii="Calibri" w:hAnsi="Calibri"/>
          <w:b/>
          <w:color w:val="0F172A"/>
          <w:sz w:val="21"/>
        </w:rPr>
        <w:t xml:space="preserve">Python 3.12: </w:t>
      </w:r>
      <w:r>
        <w:rPr>
          <w:rFonts w:ascii="Calibri" w:hAnsi="Calibri"/>
          <w:color w:val="0F172A"/>
          <w:sz w:val="21"/>
        </w:rPr>
        <w:t>Primary programming language offering numerical computing and ML libraries.</w:t>
      </w:r>
    </w:p>
    <w:p>
      <w:pPr>
        <w:pStyle w:val="ListBullet"/>
        <w:spacing w:before="20" w:after="60" w:line="276" w:lineRule="auto"/>
      </w:pPr>
      <w:r>
        <w:rPr>
          <w:rFonts w:ascii="Calibri" w:hAnsi="Calibri"/>
          <w:b/>
          <w:color w:val="0F172A"/>
          <w:sz w:val="21"/>
        </w:rPr>
        <w:t xml:space="preserve">Pandas (&gt;=2.0.0): </w:t>
      </w:r>
      <w:r>
        <w:rPr>
          <w:rFonts w:ascii="Calibri" w:hAnsi="Calibri"/>
          <w:color w:val="0F172A"/>
          <w:sz w:val="21"/>
        </w:rPr>
        <w:t>High-performance data manipulation, time-series indexing, aggregation, and ETL cleaning.</w:t>
      </w:r>
    </w:p>
    <w:p>
      <w:pPr>
        <w:pStyle w:val="ListBullet"/>
        <w:spacing w:before="20" w:after="60" w:line="276" w:lineRule="auto"/>
      </w:pPr>
      <w:r>
        <w:rPr>
          <w:rFonts w:ascii="Calibri" w:hAnsi="Calibri"/>
          <w:b/>
          <w:color w:val="0F172A"/>
          <w:sz w:val="21"/>
        </w:rPr>
        <w:t xml:space="preserve">NumPy (&gt;=1.24.0): </w:t>
      </w:r>
      <w:r>
        <w:rPr>
          <w:rFonts w:ascii="Calibri" w:hAnsi="Calibri"/>
          <w:color w:val="0F172A"/>
          <w:sz w:val="21"/>
        </w:rPr>
        <w:t>Vectorized numerical operations, matrix transformations, and percentile calculations.</w:t>
      </w:r>
    </w:p>
    <w:p>
      <w:pPr>
        <w:pStyle w:val="ListBullet"/>
        <w:spacing w:before="20" w:after="60" w:line="276" w:lineRule="auto"/>
      </w:pPr>
      <w:r>
        <w:rPr>
          <w:rFonts w:ascii="Calibri" w:hAnsi="Calibri"/>
          <w:b/>
          <w:color w:val="0F172A"/>
          <w:sz w:val="21"/>
        </w:rPr>
        <w:t xml:space="preserve">Scikit-Learn (&gt;=1.3.0): </w:t>
      </w:r>
      <w:r>
        <w:rPr>
          <w:rFonts w:ascii="Calibri" w:hAnsi="Calibri"/>
          <w:color w:val="0F172A"/>
          <w:sz w:val="21"/>
        </w:rPr>
        <w:t>Machine learning algorithms (Ridge, Random Forest, HistGradientBoosting), ColumnTransformer, StandardScaler, OneHotEncoder, and regression evaluation metrics.</w:t>
      </w:r>
    </w:p>
    <w:p>
      <w:pPr>
        <w:pStyle w:val="ListBullet"/>
        <w:spacing w:before="20" w:after="60" w:line="276" w:lineRule="auto"/>
      </w:pPr>
      <w:r>
        <w:rPr>
          <w:rFonts w:ascii="Calibri" w:hAnsi="Calibri"/>
          <w:b/>
          <w:color w:val="0F172A"/>
          <w:sz w:val="21"/>
        </w:rPr>
        <w:t xml:space="preserve">Matplotlib (&gt;=3.7.0): </w:t>
      </w:r>
      <w:r>
        <w:rPr>
          <w:rFonts w:ascii="Calibri" w:hAnsi="Calibri"/>
          <w:color w:val="0F172A"/>
          <w:sz w:val="21"/>
        </w:rPr>
        <w:t>Publication-quality statistical graphics, diurnal curve plots, residual histograms, and feature importance bar charts.</w:t>
      </w:r>
    </w:p>
    <w:p>
      <w:pPr>
        <w:pStyle w:val="ListBullet"/>
        <w:spacing w:before="20" w:after="60" w:line="276" w:lineRule="auto"/>
      </w:pPr>
      <w:r>
        <w:rPr>
          <w:rFonts w:ascii="Calibri" w:hAnsi="Calibri"/>
          <w:b/>
          <w:color w:val="0F172A"/>
          <w:sz w:val="21"/>
        </w:rPr>
        <w:t xml:space="preserve">Plotly (&gt;=5.15.0): </w:t>
      </w:r>
      <w:r>
        <w:rPr>
          <w:rFonts w:ascii="Calibri" w:hAnsi="Calibri"/>
          <w:color w:val="0F172A"/>
          <w:sz w:val="21"/>
        </w:rPr>
        <w:t>Interactive browser visualizations, dynamic gauge charts, and time-series moving average curves.</w:t>
      </w:r>
    </w:p>
    <w:p>
      <w:pPr>
        <w:pStyle w:val="ListBullet"/>
        <w:spacing w:before="20" w:after="60" w:line="276" w:lineRule="auto"/>
      </w:pPr>
      <w:r>
        <w:rPr>
          <w:rFonts w:ascii="Calibri" w:hAnsi="Calibri"/>
          <w:b/>
          <w:color w:val="0F172A"/>
          <w:sz w:val="21"/>
        </w:rPr>
        <w:t xml:space="preserve">Streamlit (&gt;=1.25.0): </w:t>
      </w:r>
      <w:r>
        <w:rPr>
          <w:rFonts w:ascii="Calibri" w:hAnsi="Calibri"/>
          <w:color w:val="0F172A"/>
          <w:sz w:val="21"/>
        </w:rPr>
        <w:t>Multi-page reactive clinical web application framework with custom CSS styling.</w:t>
      </w:r>
    </w:p>
    <w:p>
      <w:pPr>
        <w:pStyle w:val="ListBullet"/>
        <w:spacing w:before="20" w:after="60" w:line="276" w:lineRule="auto"/>
      </w:pPr>
      <w:r>
        <w:rPr>
          <w:rFonts w:ascii="Calibri" w:hAnsi="Calibri"/>
          <w:b/>
          <w:color w:val="0F172A"/>
          <w:sz w:val="21"/>
        </w:rPr>
        <w:t xml:space="preserve">Joblib (&gt;=1.3.0): </w:t>
      </w:r>
      <w:r>
        <w:rPr>
          <w:rFonts w:ascii="Calibri" w:hAnsi="Calibri"/>
          <w:color w:val="0F172A"/>
          <w:sz w:val="21"/>
        </w:rPr>
        <w:t>High-efficiency serialization of trained pipelines and preprocessing transformers.</w:t>
      </w:r>
    </w:p>
    <w:p>
      <w:pPr>
        <w:pStyle w:val="ListBullet"/>
        <w:spacing w:before="20" w:after="60" w:line="276" w:lineRule="auto"/>
      </w:pPr>
      <w:r>
        <w:rPr>
          <w:rFonts w:ascii="Calibri" w:hAnsi="Calibri"/>
          <w:b/>
          <w:color w:val="0F172A"/>
          <w:sz w:val="21"/>
        </w:rPr>
        <w:t xml:space="preserve">Jupyter Notebook / IPython: </w:t>
      </w:r>
      <w:r>
        <w:rPr>
          <w:rFonts w:ascii="Calibri" w:hAnsi="Calibri"/>
          <w:color w:val="0F172A"/>
          <w:sz w:val="21"/>
        </w:rPr>
        <w:t>Interactive development environment for end-to-end reproducible research.</w:t>
      </w:r>
    </w:p>
    <w:p>
      <w:pPr>
        <w:pStyle w:val="ListBullet"/>
        <w:spacing w:before="20" w:after="60" w:line="276" w:lineRule="auto"/>
      </w:pPr>
      <w:r>
        <w:rPr>
          <w:rFonts w:ascii="Calibri" w:hAnsi="Calibri"/>
          <w:b/>
          <w:color w:val="0F172A"/>
          <w:sz w:val="21"/>
        </w:rPr>
        <w:t xml:space="preserve">Python-docx / ReportLab: </w:t>
      </w:r>
      <w:r>
        <w:rPr>
          <w:rFonts w:ascii="Calibri" w:hAnsi="Calibri"/>
          <w:color w:val="0F172A"/>
          <w:sz w:val="21"/>
        </w:rPr>
        <w:t>Automated programmatic generation of academic and executive documentation.</w:t>
      </w:r>
    </w:p>
    <w:p>
      <w:pPr>
        <w:pStyle w:val="Heading1"/>
        <w:keepNext/>
        <w:spacing w:before="320" w:after="120"/>
      </w:pPr>
      <w:r>
        <w:rPr>
          <w:rFonts w:ascii="Calibri" w:hAnsi="Calibri"/>
          <w:b/>
          <w:color w:val="0284C7"/>
          <w:sz w:val="34"/>
        </w:rPr>
        <w:t>7. System Architecture</w:t>
      </w:r>
    </w:p>
    <w:p>
      <w:pPr>
        <w:spacing w:before="0" w:after="80" w:line="276" w:lineRule="auto"/>
      </w:pPr>
      <w:r>
        <w:rPr>
          <w:rFonts w:ascii="Calibri" w:hAnsi="Calibri"/>
          <w:color w:val="0F172A"/>
          <w:sz w:val="21"/>
        </w:rPr>
        <w:t>HealthFlow is engineered as a modular, decoupled data pipeline that enforces a strict separation of concerns between data ingestion, data cleaning, feature derivation, predictive modeling, and user presentation.</w:t>
      </w:r>
    </w:p>
    <w:p>
      <w:pPr>
        <w:spacing w:before="80" w:after="160"/>
        <w:ind w:left="432"/>
      </w:pPr>
      <w:r>
        <w:rPr>
          <w:rFonts w:ascii="Consolas" w:hAnsi="Consolas"/>
          <w:color w:val="0369A1"/>
          <w:sz w:val="18"/>
        </w:rPr>
        <w:t>Alberta Health Services Telemetry (66k+ Records)</w:t>
        <w:br/>
        <w:t xml:space="preserve">                     ↓</w:t>
        <w:br/>
        <w:t xml:space="preserve">   Data Ingestion Module (src/data_ingestion.py)</w:t>
        <w:br/>
        <w:t xml:space="preserve">                     ↓</w:t>
        <w:br/>
        <w:t xml:space="preserve">  Data Cleaning &amp; Audit (src/data_cleaning.py) -&gt; data/processed/healthflow_cleaned.csv</w:t>
        <w:br/>
        <w:t xml:space="preserve">                     ↓</w:t>
        <w:br/>
        <w:t>Feature Engineering Module (src/feature_engineering.py) -&gt; data/processed/healthflow_features.csv</w:t>
        <w:br/>
        <w:t xml:space="preserve">                     ↓</w:t>
        <w:br/>
        <w:t xml:space="preserve">      ┌──────────────┴──────────────┐</w:t>
        <w:br/>
        <w:t xml:space="preserve">      ▼                             ▼</w:t>
        <w:br/>
        <w:t>Exploratory Analysis Engine     Chronological ML Training (src/train_model.py)</w:t>
        <w:br/>
        <w:t xml:space="preserve">   (src/analysis.py)              [Ridge | Random Forest | Gradient Boosting]</w:t>
        <w:br/>
        <w:t xml:space="preserve">      │                             │</w:t>
        <w:br/>
        <w:t xml:space="preserve">      │                             ▼</w:t>
        <w:br/>
        <w:t xml:space="preserve">      │                      Serialized Pipeline (models/waiting_time_model.pkl)</w:t>
        <w:br/>
        <w:t xml:space="preserve">      │                             │</w:t>
        <w:br/>
        <w:t xml:space="preserve">      └──────────────┬──────────────┘</w:t>
        <w:br/>
        <w:t xml:space="preserve">                     ▼</w:t>
        <w:br/>
        <w:t xml:space="preserve">   Interactive Streamlit Dashboard (dashboard/app.py)</w:t>
        <w:br/>
        <w:t xml:space="preserve">  [Overview | Patient Flow | Wait Analytics | ML Prediction | Insights | Data Explorer | Model Info]</w:t>
        <w:br/>
        <w:t xml:space="preserve">                     ↓</w:t>
        <w:br/>
        <w:t xml:space="preserve">  Actionable Healthcare Intelligence &amp; Automated Executive Reporting</w:t>
      </w:r>
    </w:p>
    <w:p>
      <w:pPr>
        <w:spacing w:before="0" w:after="80" w:line="276" w:lineRule="auto"/>
      </w:pPr>
      <w:r>
        <w:rPr>
          <w:rFonts w:ascii="Calibri" w:hAnsi="Calibri"/>
          <w:color w:val="0F172A"/>
          <w:sz w:val="21"/>
        </w:rPr>
        <w:t>The architecture guarantees that raw telemetry is never modified in place. Cleaned and feature-engineered datasets are persisted as intermediate artifacts, allowing rapid dashboard loading and isolated unit testing.</w:t>
      </w:r>
    </w:p>
    <w:p>
      <w:pPr>
        <w:pStyle w:val="Heading1"/>
        <w:keepNext/>
        <w:spacing w:before="320" w:after="120"/>
      </w:pPr>
      <w:r>
        <w:rPr>
          <w:rFonts w:ascii="Calibri" w:hAnsi="Calibri"/>
          <w:b/>
          <w:color w:val="0284C7"/>
          <w:sz w:val="34"/>
        </w:rPr>
        <w:t>8. Data Preprocessing</w:t>
      </w:r>
    </w:p>
    <w:p>
      <w:pPr>
        <w:spacing w:before="0" w:after="80" w:line="276" w:lineRule="auto"/>
      </w:pPr>
      <w:r>
        <w:rPr>
          <w:rFonts w:ascii="Calibri" w:hAnsi="Calibri"/>
          <w:color w:val="0F172A"/>
          <w:sz w:val="21"/>
        </w:rPr>
        <w:t>Data preprocessing is executed by src/data_cleaning.py and src/feature_engineering.py to ensure data integrity and prevent subtle machine learning bugs.</w:t>
      </w:r>
    </w:p>
    <w:p>
      <w:pPr>
        <w:pStyle w:val="ListBullet"/>
        <w:spacing w:before="20" w:after="60" w:line="276" w:lineRule="auto"/>
      </w:pPr>
      <w:r>
        <w:rPr>
          <w:rFonts w:ascii="Calibri" w:hAnsi="Calibri"/>
          <w:b/>
          <w:color w:val="0F172A"/>
          <w:sz w:val="21"/>
        </w:rPr>
        <w:t xml:space="preserve">Missing Value Audit: </w:t>
      </w:r>
      <w:r>
        <w:rPr>
          <w:rFonts w:ascii="Calibri" w:hAnsi="Calibri"/>
          <w:color w:val="0F172A"/>
          <w:sz w:val="21"/>
        </w:rPr>
        <w:t>The raw dataset had zero null values in critical columns ('waitTime', 'hospitalName', 'date').</w:t>
      </w:r>
    </w:p>
    <w:p>
      <w:pPr>
        <w:pStyle w:val="ListBullet"/>
        <w:spacing w:before="20" w:after="60" w:line="276" w:lineRule="auto"/>
      </w:pPr>
      <w:r>
        <w:rPr>
          <w:rFonts w:ascii="Calibri" w:hAnsi="Calibri"/>
          <w:b/>
          <w:color w:val="0F172A"/>
          <w:sz w:val="21"/>
        </w:rPr>
        <w:t xml:space="preserve">Sentinel Value Removal: </w:t>
      </w:r>
      <w:r>
        <w:rPr>
          <w:rFonts w:ascii="Calibri" w:hAnsi="Calibri"/>
          <w:color w:val="0F172A"/>
          <w:sz w:val="21"/>
        </w:rPr>
        <w:t>6,534 records had waitTime == -1. In Alberta Health Services telemetry, a value of -1 designates an urgent care clinic closed overnight or a sensor telemetry disconnect. Retaining these would severely distort queue analytics; they were audited and excluded from training, yielding 59,663 clean valid observations.</w:t>
      </w:r>
    </w:p>
    <w:p>
      <w:pPr>
        <w:pStyle w:val="ListBullet"/>
        <w:spacing w:before="20" w:after="60" w:line="276" w:lineRule="auto"/>
      </w:pPr>
      <w:r>
        <w:rPr>
          <w:rFonts w:ascii="Calibri" w:hAnsi="Calibri"/>
          <w:b/>
          <w:color w:val="0F172A"/>
          <w:sz w:val="21"/>
        </w:rPr>
        <w:t xml:space="preserve">Deduplication: </w:t>
      </w:r>
      <w:r>
        <w:rPr>
          <w:rFonts w:ascii="Calibri" w:hAnsi="Calibri"/>
          <w:color w:val="0F172A"/>
          <w:sz w:val="21"/>
        </w:rPr>
        <w:t>Duplicate records were checked against unique observation IDs and (hospitalName, date) tuples, ensuring that no facility had multiple conflicting readings for the same timestamp.</w:t>
      </w:r>
    </w:p>
    <w:p>
      <w:pPr>
        <w:pStyle w:val="ListBullet"/>
        <w:spacing w:before="20" w:after="60" w:line="276" w:lineRule="auto"/>
      </w:pPr>
      <w:r>
        <w:rPr>
          <w:rFonts w:ascii="Calibri" w:hAnsi="Calibri"/>
          <w:b/>
          <w:color w:val="0F172A"/>
          <w:sz w:val="21"/>
        </w:rPr>
        <w:t xml:space="preserve">Datetime Parsing: </w:t>
      </w:r>
      <w:r>
        <w:rPr>
          <w:rFonts w:ascii="Calibri" w:hAnsi="Calibri"/>
          <w:color w:val="0F172A"/>
          <w:sz w:val="21"/>
        </w:rPr>
        <w:t>The string date column was parsed into standard ISO-8601 pandas datetimes, and observations were strictly sorted chronologically.</w:t>
      </w:r>
    </w:p>
    <w:p>
      <w:pPr>
        <w:pStyle w:val="ListBullet"/>
        <w:spacing w:before="20" w:after="60" w:line="276" w:lineRule="auto"/>
      </w:pPr>
      <w:r>
        <w:rPr>
          <w:rFonts w:ascii="Calibri" w:hAnsi="Calibri"/>
          <w:b/>
          <w:color w:val="0F172A"/>
          <w:sz w:val="21"/>
        </w:rPr>
        <w:t xml:space="preserve">Categorical Standardization: </w:t>
      </w:r>
      <w:r>
        <w:rPr>
          <w:rFonts w:ascii="Calibri" w:hAnsi="Calibri"/>
          <w:color w:val="0F172A"/>
          <w:sz w:val="21"/>
        </w:rPr>
        <w:t>Hospital names were stripped of extraneous whitespace and mapped to standardized operational tiers and geographical zones.</w:t>
      </w:r>
    </w:p>
    <w:p>
      <w:pPr>
        <w:pStyle w:val="ListBullet"/>
        <w:spacing w:before="20" w:after="60" w:line="276" w:lineRule="auto"/>
      </w:pPr>
      <w:r>
        <w:rPr>
          <w:rFonts w:ascii="Calibri" w:hAnsi="Calibri"/>
          <w:b/>
          <w:color w:val="0F172A"/>
          <w:sz w:val="21"/>
        </w:rPr>
        <w:t xml:space="preserve">Leakage-Free Feature Derivation: </w:t>
      </w:r>
      <w:r>
        <w:rPr>
          <w:rFonts w:ascii="Calibri" w:hAnsi="Calibri"/>
          <w:color w:val="0F172A"/>
          <w:sz w:val="21"/>
        </w:rPr>
        <w:t>Features were strictly constrained to information known when a patient checks in (hour, day of week, weekend indicator, facility tier, health zone, peak hour flag, concurrent active facilities, and concurrent system-wide average wait time). No post-triage variables (such as doctor consultation duration or length of stay) were utilized.</w:t>
      </w:r>
    </w:p>
    <w:p>
      <w:pPr>
        <w:pStyle w:val="Heading1"/>
        <w:keepNext/>
        <w:spacing w:before="320" w:after="120"/>
      </w:pPr>
      <w:r>
        <w:rPr>
          <w:rFonts w:ascii="Calibri" w:hAnsi="Calibri"/>
          <w:b/>
          <w:color w:val="0284C7"/>
          <w:sz w:val="34"/>
        </w:rPr>
        <w:t>9. Exploratory Data Analysis</w:t>
      </w:r>
    </w:p>
    <w:p>
      <w:pPr>
        <w:spacing w:before="0" w:after="80" w:line="276" w:lineRule="auto"/>
      </w:pPr>
      <w:r>
        <w:rPr>
          <w:rFonts w:ascii="Calibri" w:hAnsi="Calibri"/>
          <w:color w:val="0F172A"/>
          <w:sz w:val="21"/>
        </w:rPr>
        <w:t>Exploratory Data Analysis (EDA) was performed across the 59,663 cleaned telemetry records. All statistics cite actual empirical values: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68"/>
            <w:shd w:fill="0284C7"/>
            <w:tcMar>
              <w:top w:w="120" w:type="dxa"/>
              <w:bottom w:w="120" w:type="dxa"/>
              <w:left w:w="150" w:type="dxa"/>
              <w:right w:w="150" w:type="dxa"/>
            </w:tcMar>
          </w:tcPr>
          <w:p>
            <w:pPr>
              <w:jc w:val="left"/>
            </w:pPr>
            <w:r>
              <w:rPr>
                <w:rFonts w:ascii="Calibri" w:hAnsi="Calibri"/>
                <w:b/>
                <w:color w:val="FFFFFF"/>
                <w:sz w:val="20"/>
              </w:rPr>
              <w:t>Operational Statistical Metric</w:t>
            </w:r>
          </w:p>
        </w:tc>
        <w:tc>
          <w:tcPr>
            <w:tcW w:type="dxa" w:w="2160"/>
            <w:shd w:fill="0284C7"/>
            <w:tcMar>
              <w:top w:w="120" w:type="dxa"/>
              <w:bottom w:w="120" w:type="dxa"/>
              <w:left w:w="150" w:type="dxa"/>
              <w:right w:w="150" w:type="dxa"/>
            </w:tcMar>
          </w:tcPr>
          <w:p>
            <w:pPr>
              <w:jc w:val="left"/>
            </w:pPr>
            <w:r>
              <w:rPr>
                <w:rFonts w:ascii="Calibri" w:hAnsi="Calibri"/>
                <w:b/>
                <w:color w:val="FFFFFF"/>
                <w:sz w:val="20"/>
              </w:rPr>
              <w:t>Empirical Value</w:t>
            </w:r>
          </w:p>
        </w:tc>
        <w:tc>
          <w:tcPr>
            <w:tcW w:type="dxa" w:w="4032"/>
            <w:shd w:fill="0284C7"/>
            <w:tcMar>
              <w:top w:w="120" w:type="dxa"/>
              <w:bottom w:w="120" w:type="dxa"/>
              <w:left w:w="150" w:type="dxa"/>
              <w:right w:w="150" w:type="dxa"/>
            </w:tcMar>
          </w:tcPr>
          <w:p>
            <w:pPr>
              <w:jc w:val="left"/>
            </w:pPr>
            <w:r>
              <w:rPr>
                <w:rFonts w:ascii="Calibri" w:hAnsi="Calibri"/>
                <w:b/>
                <w:color w:val="FFFFFF"/>
                <w:sz w:val="20"/>
              </w:rPr>
              <w:t>Healthcare Interpretation</w:t>
            </w:r>
          </w:p>
        </w:tc>
      </w:tr>
      <w:tr>
        <w:tc>
          <w:tcPr>
            <w:tcW w:type="dxa" w:w="3168"/>
            <w:shd w:fill="FFFFFF"/>
            <w:tcMar>
              <w:top w:w="80" w:type="dxa"/>
              <w:bottom w:w="80" w:type="dxa"/>
              <w:left w:w="150" w:type="dxa"/>
              <w:right w:w="150" w:type="dxa"/>
            </w:tcMar>
          </w:tcPr>
          <w:p>
            <w:pPr>
              <w:jc w:val="left"/>
            </w:pPr>
            <w:r>
              <w:rPr>
                <w:rFonts w:ascii="Calibri" w:hAnsi="Calibri"/>
                <w:color w:val="0F172A"/>
                <w:sz w:val="19"/>
              </w:rPr>
              <w:t>Total Cleaned Observations</w:t>
            </w:r>
          </w:p>
        </w:tc>
        <w:tc>
          <w:tcPr>
            <w:tcW w:type="dxa" w:w="2160"/>
            <w:shd w:fill="FFFFFF"/>
            <w:tcMar>
              <w:top w:w="80" w:type="dxa"/>
              <w:bottom w:w="80" w:type="dxa"/>
              <w:left w:w="150" w:type="dxa"/>
              <w:right w:w="150" w:type="dxa"/>
            </w:tcMar>
          </w:tcPr>
          <w:p>
            <w:pPr>
              <w:jc w:val="left"/>
            </w:pPr>
            <w:r>
              <w:rPr>
                <w:rFonts w:ascii="Calibri" w:hAnsi="Calibri"/>
                <w:color w:val="0F172A"/>
                <w:sz w:val="19"/>
              </w:rPr>
              <w:t>59,663 records</w:t>
            </w:r>
          </w:p>
        </w:tc>
        <w:tc>
          <w:tcPr>
            <w:tcW w:type="dxa" w:w="4032"/>
            <w:shd w:fill="FFFFFF"/>
            <w:tcMar>
              <w:top w:w="80" w:type="dxa"/>
              <w:bottom w:w="80" w:type="dxa"/>
              <w:left w:w="150" w:type="dxa"/>
              <w:right w:w="150" w:type="dxa"/>
            </w:tcMar>
          </w:tcPr>
          <w:p>
            <w:pPr>
              <w:jc w:val="left"/>
            </w:pPr>
            <w:r>
              <w:rPr>
                <w:rFonts w:ascii="Calibri" w:hAnsi="Calibri"/>
                <w:color w:val="0F172A"/>
                <w:sz w:val="19"/>
              </w:rPr>
              <w:t>Continuous telemetry monitoring across 18 hospitals</w:t>
            </w:r>
          </w:p>
        </w:tc>
      </w:tr>
      <w:tr>
        <w:tc>
          <w:tcPr>
            <w:tcW w:type="dxa" w:w="3168"/>
            <w:shd w:fill="F1F5F9"/>
            <w:tcMar>
              <w:top w:w="80" w:type="dxa"/>
              <w:bottom w:w="80" w:type="dxa"/>
              <w:left w:w="150" w:type="dxa"/>
              <w:right w:w="150" w:type="dxa"/>
            </w:tcMar>
          </w:tcPr>
          <w:p>
            <w:pPr>
              <w:jc w:val="left"/>
            </w:pPr>
            <w:r>
              <w:rPr>
                <w:rFonts w:ascii="Calibri" w:hAnsi="Calibri"/>
                <w:color w:val="0F172A"/>
                <w:sz w:val="19"/>
              </w:rPr>
              <w:t>Mean Waiting Time</w:t>
            </w:r>
          </w:p>
        </w:tc>
        <w:tc>
          <w:tcPr>
            <w:tcW w:type="dxa" w:w="2160"/>
            <w:shd w:fill="F1F5F9"/>
            <w:tcMar>
              <w:top w:w="80" w:type="dxa"/>
              <w:bottom w:w="80" w:type="dxa"/>
              <w:left w:w="150" w:type="dxa"/>
              <w:right w:w="150" w:type="dxa"/>
            </w:tcMar>
          </w:tcPr>
          <w:p>
            <w:pPr>
              <w:jc w:val="left"/>
            </w:pPr>
            <w:r>
              <w:rPr>
                <w:rFonts w:ascii="Calibri" w:hAnsi="Calibri"/>
                <w:color w:val="0F172A"/>
                <w:sz w:val="19"/>
              </w:rPr>
              <w:t>94.4 minutes</w:t>
            </w:r>
          </w:p>
        </w:tc>
        <w:tc>
          <w:tcPr>
            <w:tcW w:type="dxa" w:w="4032"/>
            <w:shd w:fill="F1F5F9"/>
            <w:tcMar>
              <w:top w:w="80" w:type="dxa"/>
              <w:bottom w:w="80" w:type="dxa"/>
              <w:left w:w="150" w:type="dxa"/>
              <w:right w:w="150" w:type="dxa"/>
            </w:tcMar>
          </w:tcPr>
          <w:p>
            <w:pPr>
              <w:jc w:val="left"/>
            </w:pPr>
            <w:r>
              <w:rPr>
                <w:rFonts w:ascii="Calibri" w:hAnsi="Calibri"/>
                <w:color w:val="0F172A"/>
                <w:sz w:val="19"/>
              </w:rPr>
              <w:t>Average time from triage intake to evaluation by emergency physician</w:t>
            </w:r>
          </w:p>
        </w:tc>
      </w:tr>
      <w:tr>
        <w:tc>
          <w:tcPr>
            <w:tcW w:type="dxa" w:w="3168"/>
            <w:shd w:fill="FFFFFF"/>
            <w:tcMar>
              <w:top w:w="80" w:type="dxa"/>
              <w:bottom w:w="80" w:type="dxa"/>
              <w:left w:w="150" w:type="dxa"/>
              <w:right w:w="150" w:type="dxa"/>
            </w:tcMar>
          </w:tcPr>
          <w:p>
            <w:pPr>
              <w:jc w:val="left"/>
            </w:pPr>
            <w:r>
              <w:rPr>
                <w:rFonts w:ascii="Calibri" w:hAnsi="Calibri"/>
                <w:color w:val="0F172A"/>
                <w:sz w:val="19"/>
              </w:rPr>
              <w:t>Median Waiting Time</w:t>
            </w:r>
          </w:p>
        </w:tc>
        <w:tc>
          <w:tcPr>
            <w:tcW w:type="dxa" w:w="2160"/>
            <w:shd w:fill="FFFFFF"/>
            <w:tcMar>
              <w:top w:w="80" w:type="dxa"/>
              <w:bottom w:w="80" w:type="dxa"/>
              <w:left w:w="150" w:type="dxa"/>
              <w:right w:w="150" w:type="dxa"/>
            </w:tcMar>
          </w:tcPr>
          <w:p>
            <w:pPr>
              <w:jc w:val="left"/>
            </w:pPr>
            <w:r>
              <w:rPr>
                <w:rFonts w:ascii="Calibri" w:hAnsi="Calibri"/>
                <w:color w:val="0F172A"/>
                <w:sz w:val="19"/>
              </w:rPr>
              <w:t>79.0 minutes</w:t>
            </w:r>
          </w:p>
        </w:tc>
        <w:tc>
          <w:tcPr>
            <w:tcW w:type="dxa" w:w="4032"/>
            <w:shd w:fill="FFFFFF"/>
            <w:tcMar>
              <w:top w:w="80" w:type="dxa"/>
              <w:bottom w:w="80" w:type="dxa"/>
              <w:left w:w="150" w:type="dxa"/>
              <w:right w:w="150" w:type="dxa"/>
            </w:tcMar>
          </w:tcPr>
          <w:p>
            <w:pPr>
              <w:jc w:val="left"/>
            </w:pPr>
            <w:r>
              <w:rPr>
                <w:rFonts w:ascii="Calibri" w:hAnsi="Calibri"/>
                <w:color w:val="0F172A"/>
                <w:sz w:val="19"/>
              </w:rPr>
              <w:t>50% of patient visits seen within 79.0 minutes (skewed distribution)</w:t>
            </w:r>
          </w:p>
        </w:tc>
      </w:tr>
      <w:tr>
        <w:tc>
          <w:tcPr>
            <w:tcW w:type="dxa" w:w="3168"/>
            <w:shd w:fill="F1F5F9"/>
            <w:tcMar>
              <w:top w:w="80" w:type="dxa"/>
              <w:bottom w:w="80" w:type="dxa"/>
              <w:left w:w="150" w:type="dxa"/>
              <w:right w:w="150" w:type="dxa"/>
            </w:tcMar>
          </w:tcPr>
          <w:p>
            <w:pPr>
              <w:jc w:val="left"/>
            </w:pPr>
            <w:r>
              <w:rPr>
                <w:rFonts w:ascii="Calibri" w:hAnsi="Calibri"/>
                <w:color w:val="0F172A"/>
                <w:sz w:val="19"/>
              </w:rPr>
              <w:t>Standard Deviation</w:t>
            </w:r>
          </w:p>
        </w:tc>
        <w:tc>
          <w:tcPr>
            <w:tcW w:type="dxa" w:w="2160"/>
            <w:shd w:fill="F1F5F9"/>
            <w:tcMar>
              <w:top w:w="80" w:type="dxa"/>
              <w:bottom w:w="80" w:type="dxa"/>
              <w:left w:w="150" w:type="dxa"/>
              <w:right w:w="150" w:type="dxa"/>
            </w:tcMar>
          </w:tcPr>
          <w:p>
            <w:pPr>
              <w:jc w:val="left"/>
            </w:pPr>
            <w:r>
              <w:rPr>
                <w:rFonts w:ascii="Calibri" w:hAnsi="Calibri"/>
                <w:color w:val="0F172A"/>
                <w:sz w:val="19"/>
              </w:rPr>
              <w:t>63.4 minutes</w:t>
            </w:r>
          </w:p>
        </w:tc>
        <w:tc>
          <w:tcPr>
            <w:tcW w:type="dxa" w:w="4032"/>
            <w:shd w:fill="F1F5F9"/>
            <w:tcMar>
              <w:top w:w="80" w:type="dxa"/>
              <w:bottom w:w="80" w:type="dxa"/>
              <w:left w:w="150" w:type="dxa"/>
              <w:right w:w="150" w:type="dxa"/>
            </w:tcMar>
          </w:tcPr>
          <w:p>
            <w:pPr>
              <w:jc w:val="left"/>
            </w:pPr>
            <w:r>
              <w:rPr>
                <w:rFonts w:ascii="Calibri" w:hAnsi="Calibri"/>
                <w:color w:val="0F172A"/>
                <w:sz w:val="19"/>
              </w:rPr>
              <w:t>Substantial variability driven by facility tier and time of arrival</w:t>
            </w:r>
          </w:p>
        </w:tc>
      </w:tr>
      <w:tr>
        <w:tc>
          <w:tcPr>
            <w:tcW w:type="dxa" w:w="3168"/>
            <w:shd w:fill="FFFFFF"/>
            <w:tcMar>
              <w:top w:w="80" w:type="dxa"/>
              <w:bottom w:w="80" w:type="dxa"/>
              <w:left w:w="150" w:type="dxa"/>
              <w:right w:w="150" w:type="dxa"/>
            </w:tcMar>
          </w:tcPr>
          <w:p>
            <w:pPr>
              <w:jc w:val="left"/>
            </w:pPr>
            <w:r>
              <w:rPr>
                <w:rFonts w:ascii="Calibri" w:hAnsi="Calibri"/>
                <w:color w:val="0F172A"/>
                <w:sz w:val="19"/>
              </w:rPr>
              <w:t>Interquartile Range (IQR)</w:t>
            </w:r>
          </w:p>
        </w:tc>
        <w:tc>
          <w:tcPr>
            <w:tcW w:type="dxa" w:w="2160"/>
            <w:shd w:fill="FFFFFF"/>
            <w:tcMar>
              <w:top w:w="80" w:type="dxa"/>
              <w:bottom w:w="80" w:type="dxa"/>
              <w:left w:w="150" w:type="dxa"/>
              <w:right w:w="150" w:type="dxa"/>
            </w:tcMar>
          </w:tcPr>
          <w:p>
            <w:pPr>
              <w:jc w:val="left"/>
            </w:pPr>
            <w:r>
              <w:rPr>
                <w:rFonts w:ascii="Calibri" w:hAnsi="Calibri"/>
                <w:color w:val="0F172A"/>
                <w:sz w:val="19"/>
              </w:rPr>
              <w:t>86.0 minutes</w:t>
            </w:r>
          </w:p>
        </w:tc>
        <w:tc>
          <w:tcPr>
            <w:tcW w:type="dxa" w:w="4032"/>
            <w:shd w:fill="FFFFFF"/>
            <w:tcMar>
              <w:top w:w="80" w:type="dxa"/>
              <w:bottom w:w="80" w:type="dxa"/>
              <w:left w:w="150" w:type="dxa"/>
              <w:right w:w="150" w:type="dxa"/>
            </w:tcMar>
          </w:tcPr>
          <w:p>
            <w:pPr>
              <w:jc w:val="left"/>
            </w:pPr>
            <w:r>
              <w:rPr>
                <w:rFonts w:ascii="Calibri" w:hAnsi="Calibri"/>
                <w:color w:val="0F172A"/>
                <w:sz w:val="19"/>
              </w:rPr>
              <w:t>Mid-50% spread between 25th percentile (46.0m) and 75th percentile (132.0m)</w:t>
            </w:r>
          </w:p>
        </w:tc>
      </w:tr>
      <w:tr>
        <w:tc>
          <w:tcPr>
            <w:tcW w:type="dxa" w:w="3168"/>
            <w:shd w:fill="F1F5F9"/>
            <w:tcMar>
              <w:top w:w="80" w:type="dxa"/>
              <w:bottom w:w="80" w:type="dxa"/>
              <w:left w:w="150" w:type="dxa"/>
              <w:right w:w="150" w:type="dxa"/>
            </w:tcMar>
          </w:tcPr>
          <w:p>
            <w:pPr>
              <w:jc w:val="left"/>
            </w:pPr>
            <w:r>
              <w:rPr>
                <w:rFonts w:ascii="Calibri" w:hAnsi="Calibri"/>
                <w:color w:val="0F172A"/>
                <w:sz w:val="19"/>
              </w:rPr>
              <w:t>90th Percentile Delay (P90)</w:t>
            </w:r>
          </w:p>
        </w:tc>
        <w:tc>
          <w:tcPr>
            <w:tcW w:type="dxa" w:w="2160"/>
            <w:shd w:fill="F1F5F9"/>
            <w:tcMar>
              <w:top w:w="80" w:type="dxa"/>
              <w:bottom w:w="80" w:type="dxa"/>
              <w:left w:w="150" w:type="dxa"/>
              <w:right w:w="150" w:type="dxa"/>
            </w:tcMar>
          </w:tcPr>
          <w:p>
            <w:pPr>
              <w:jc w:val="left"/>
            </w:pPr>
            <w:r>
              <w:rPr>
                <w:rFonts w:ascii="Calibri" w:hAnsi="Calibri"/>
                <w:color w:val="0F172A"/>
                <w:sz w:val="19"/>
              </w:rPr>
              <w:t>183.0 minutes</w:t>
            </w:r>
          </w:p>
        </w:tc>
        <w:tc>
          <w:tcPr>
            <w:tcW w:type="dxa" w:w="4032"/>
            <w:shd w:fill="F1F5F9"/>
            <w:tcMar>
              <w:top w:w="80" w:type="dxa"/>
              <w:bottom w:w="80" w:type="dxa"/>
              <w:left w:w="150" w:type="dxa"/>
              <w:right w:w="150" w:type="dxa"/>
            </w:tcMar>
          </w:tcPr>
          <w:p>
            <w:pPr>
              <w:jc w:val="left"/>
            </w:pPr>
            <w:r>
              <w:rPr>
                <w:rFonts w:ascii="Calibri" w:hAnsi="Calibri"/>
                <w:color w:val="0F172A"/>
                <w:sz w:val="19"/>
              </w:rPr>
              <w:t>Critical tail risk; 10% of patients experience delays exceeding 3.05 hours</w:t>
            </w:r>
          </w:p>
        </w:tc>
      </w:tr>
      <w:tr>
        <w:tc>
          <w:tcPr>
            <w:tcW w:type="dxa" w:w="3168"/>
            <w:shd w:fill="FFFFFF"/>
            <w:tcMar>
              <w:top w:w="80" w:type="dxa"/>
              <w:bottom w:w="80" w:type="dxa"/>
              <w:left w:w="150" w:type="dxa"/>
              <w:right w:w="150" w:type="dxa"/>
            </w:tcMar>
          </w:tcPr>
          <w:p>
            <w:pPr>
              <w:jc w:val="left"/>
            </w:pPr>
            <w:r>
              <w:rPr>
                <w:rFonts w:ascii="Calibri" w:hAnsi="Calibri"/>
                <w:color w:val="0F172A"/>
                <w:sz w:val="19"/>
              </w:rPr>
              <w:t>Diurnal Peak Arrival Hour</w:t>
            </w:r>
          </w:p>
        </w:tc>
        <w:tc>
          <w:tcPr>
            <w:tcW w:type="dxa" w:w="2160"/>
            <w:shd w:fill="FFFFFF"/>
            <w:tcMar>
              <w:top w:w="80" w:type="dxa"/>
              <w:bottom w:w="80" w:type="dxa"/>
              <w:left w:w="150" w:type="dxa"/>
              <w:right w:w="150" w:type="dxa"/>
            </w:tcMar>
          </w:tcPr>
          <w:p>
            <w:pPr>
              <w:jc w:val="left"/>
            </w:pPr>
            <w:r>
              <w:rPr>
                <w:rFonts w:ascii="Calibri" w:hAnsi="Calibri"/>
                <w:color w:val="0F172A"/>
                <w:sz w:val="19"/>
              </w:rPr>
              <w:t>14:00 - 16:00</w:t>
            </w:r>
          </w:p>
        </w:tc>
        <w:tc>
          <w:tcPr>
            <w:tcW w:type="dxa" w:w="4032"/>
            <w:shd w:fill="FFFFFF"/>
            <w:tcMar>
              <w:top w:w="80" w:type="dxa"/>
              <w:bottom w:w="80" w:type="dxa"/>
              <w:left w:w="150" w:type="dxa"/>
              <w:right w:w="150" w:type="dxa"/>
            </w:tcMar>
          </w:tcPr>
          <w:p>
            <w:pPr>
              <w:jc w:val="left"/>
            </w:pPr>
            <w:r>
              <w:rPr>
                <w:rFonts w:ascii="Calibri" w:hAnsi="Calibri"/>
                <w:color w:val="0F172A"/>
                <w:sz w:val="19"/>
              </w:rPr>
              <w:t>Afternoon peak surge window with maximum concurrent hospital load</w:t>
            </w:r>
          </w:p>
        </w:tc>
      </w:tr>
      <w:tr>
        <w:tc>
          <w:tcPr>
            <w:tcW w:type="dxa" w:w="3168"/>
            <w:shd w:fill="F1F5F9"/>
            <w:tcMar>
              <w:top w:w="80" w:type="dxa"/>
              <w:bottom w:w="80" w:type="dxa"/>
              <w:left w:w="150" w:type="dxa"/>
              <w:right w:w="150" w:type="dxa"/>
            </w:tcMar>
          </w:tcPr>
          <w:p>
            <w:pPr>
              <w:jc w:val="left"/>
            </w:pPr>
            <w:r>
              <w:rPr>
                <w:rFonts w:ascii="Calibri" w:hAnsi="Calibri"/>
                <w:color w:val="0F172A"/>
                <w:sz w:val="19"/>
              </w:rPr>
              <w:t>Diurnal Peak Wait Hour</w:t>
            </w:r>
          </w:p>
        </w:tc>
        <w:tc>
          <w:tcPr>
            <w:tcW w:type="dxa" w:w="2160"/>
            <w:shd w:fill="F1F5F9"/>
            <w:tcMar>
              <w:top w:w="80" w:type="dxa"/>
              <w:bottom w:w="80" w:type="dxa"/>
              <w:left w:w="150" w:type="dxa"/>
              <w:right w:w="150" w:type="dxa"/>
            </w:tcMar>
          </w:tcPr>
          <w:p>
            <w:pPr>
              <w:jc w:val="left"/>
            </w:pPr>
            <w:r>
              <w:rPr>
                <w:rFonts w:ascii="Calibri" w:hAnsi="Calibri"/>
                <w:color w:val="0F172A"/>
                <w:sz w:val="19"/>
              </w:rPr>
              <w:t>17:00 - 19:00</w:t>
            </w:r>
          </w:p>
        </w:tc>
        <w:tc>
          <w:tcPr>
            <w:tcW w:type="dxa" w:w="4032"/>
            <w:shd w:fill="F1F5F9"/>
            <w:tcMar>
              <w:top w:w="80" w:type="dxa"/>
              <w:bottom w:w="80" w:type="dxa"/>
              <w:left w:w="150" w:type="dxa"/>
              <w:right w:w="150" w:type="dxa"/>
            </w:tcMar>
          </w:tcPr>
          <w:p>
            <w:pPr>
              <w:jc w:val="left"/>
            </w:pPr>
            <w:r>
              <w:rPr>
                <w:rFonts w:ascii="Calibri" w:hAnsi="Calibri"/>
                <w:color w:val="0F172A"/>
                <w:sz w:val="19"/>
              </w:rPr>
              <w:t>Lagged peak delay (mean ~118 min) as patient accumulation congests queues</w:t>
            </w:r>
          </w:p>
        </w:tc>
      </w:tr>
      <w:tr>
        <w:tc>
          <w:tcPr>
            <w:tcW w:type="dxa" w:w="3168"/>
            <w:shd w:fill="FFFFFF"/>
            <w:tcMar>
              <w:top w:w="80" w:type="dxa"/>
              <w:bottom w:w="80" w:type="dxa"/>
              <w:left w:w="150" w:type="dxa"/>
              <w:right w:w="150" w:type="dxa"/>
            </w:tcMar>
          </w:tcPr>
          <w:p>
            <w:pPr>
              <w:jc w:val="left"/>
            </w:pPr>
            <w:r>
              <w:rPr>
                <w:rFonts w:ascii="Calibri" w:hAnsi="Calibri"/>
                <w:color w:val="0F172A"/>
                <w:sz w:val="19"/>
              </w:rPr>
              <w:t>Diurnal Nadir Wait Hour</w:t>
            </w:r>
          </w:p>
        </w:tc>
        <w:tc>
          <w:tcPr>
            <w:tcW w:type="dxa" w:w="2160"/>
            <w:shd w:fill="FFFFFF"/>
            <w:tcMar>
              <w:top w:w="80" w:type="dxa"/>
              <w:bottom w:w="80" w:type="dxa"/>
              <w:left w:w="150" w:type="dxa"/>
              <w:right w:w="150" w:type="dxa"/>
            </w:tcMar>
          </w:tcPr>
          <w:p>
            <w:pPr>
              <w:jc w:val="left"/>
            </w:pPr>
            <w:r>
              <w:rPr>
                <w:rFonts w:ascii="Calibri" w:hAnsi="Calibri"/>
                <w:color w:val="0F172A"/>
                <w:sz w:val="19"/>
              </w:rPr>
              <w:t>05:00 - 07:00</w:t>
            </w:r>
          </w:p>
        </w:tc>
        <w:tc>
          <w:tcPr>
            <w:tcW w:type="dxa" w:w="4032"/>
            <w:shd w:fill="FFFFFF"/>
            <w:tcMar>
              <w:top w:w="80" w:type="dxa"/>
              <w:bottom w:w="80" w:type="dxa"/>
              <w:left w:w="150" w:type="dxa"/>
              <w:right w:w="150" w:type="dxa"/>
            </w:tcMar>
          </w:tcPr>
          <w:p>
            <w:pPr>
              <w:jc w:val="left"/>
            </w:pPr>
            <w:r>
              <w:rPr>
                <w:rFonts w:ascii="Calibri" w:hAnsi="Calibri"/>
                <w:color w:val="0F172A"/>
                <w:sz w:val="19"/>
              </w:rPr>
              <w:t>Early morning lull (mean ~52 min) before outpatient clinics open</w:t>
            </w:r>
          </w:p>
        </w:tc>
      </w:tr>
      <w:tr>
        <w:tc>
          <w:tcPr>
            <w:tcW w:type="dxa" w:w="3168"/>
            <w:shd w:fill="F1F5F9"/>
            <w:tcMar>
              <w:top w:w="80" w:type="dxa"/>
              <w:bottom w:w="80" w:type="dxa"/>
              <w:left w:w="150" w:type="dxa"/>
              <w:right w:w="150" w:type="dxa"/>
            </w:tcMar>
          </w:tcPr>
          <w:p>
            <w:pPr>
              <w:jc w:val="left"/>
            </w:pPr>
            <w:r>
              <w:rPr>
                <w:rFonts w:ascii="Calibri" w:hAnsi="Calibri"/>
                <w:color w:val="0F172A"/>
                <w:sz w:val="19"/>
              </w:rPr>
              <w:t>Weekday Mean Wait</w:t>
            </w:r>
          </w:p>
        </w:tc>
        <w:tc>
          <w:tcPr>
            <w:tcW w:type="dxa" w:w="2160"/>
            <w:shd w:fill="F1F5F9"/>
            <w:tcMar>
              <w:top w:w="80" w:type="dxa"/>
              <w:bottom w:w="80" w:type="dxa"/>
              <w:left w:w="150" w:type="dxa"/>
              <w:right w:w="150" w:type="dxa"/>
            </w:tcMar>
          </w:tcPr>
          <w:p>
            <w:pPr>
              <w:jc w:val="left"/>
            </w:pPr>
            <w:r>
              <w:rPr>
                <w:rFonts w:ascii="Calibri" w:hAnsi="Calibri"/>
                <w:color w:val="0F172A"/>
                <w:sz w:val="19"/>
              </w:rPr>
              <w:t>96.1 minutes</w:t>
            </w:r>
          </w:p>
        </w:tc>
        <w:tc>
          <w:tcPr>
            <w:tcW w:type="dxa" w:w="4032"/>
            <w:shd w:fill="F1F5F9"/>
            <w:tcMar>
              <w:top w:w="80" w:type="dxa"/>
              <w:bottom w:w="80" w:type="dxa"/>
              <w:left w:w="150" w:type="dxa"/>
              <w:right w:w="150" w:type="dxa"/>
            </w:tcMar>
          </w:tcPr>
          <w:p>
            <w:pPr>
              <w:jc w:val="left"/>
            </w:pPr>
            <w:r>
              <w:rPr>
                <w:rFonts w:ascii="Calibri" w:hAnsi="Calibri"/>
                <w:color w:val="0F172A"/>
                <w:sz w:val="19"/>
              </w:rPr>
              <w:t>Higher queue delay driven by outpatient referrals and clinical consultations</w:t>
            </w:r>
          </w:p>
        </w:tc>
      </w:tr>
      <w:tr>
        <w:tc>
          <w:tcPr>
            <w:tcW w:type="dxa" w:w="3168"/>
            <w:shd w:fill="FFFFFF"/>
            <w:tcMar>
              <w:top w:w="80" w:type="dxa"/>
              <w:bottom w:w="80" w:type="dxa"/>
              <w:left w:w="150" w:type="dxa"/>
              <w:right w:w="150" w:type="dxa"/>
            </w:tcMar>
          </w:tcPr>
          <w:p>
            <w:pPr>
              <w:jc w:val="left"/>
            </w:pPr>
            <w:r>
              <w:rPr>
                <w:rFonts w:ascii="Calibri" w:hAnsi="Calibri"/>
                <w:color w:val="0F172A"/>
                <w:sz w:val="19"/>
              </w:rPr>
              <w:t>Weekend Mean Wait</w:t>
            </w:r>
          </w:p>
        </w:tc>
        <w:tc>
          <w:tcPr>
            <w:tcW w:type="dxa" w:w="2160"/>
            <w:shd w:fill="FFFFFF"/>
            <w:tcMar>
              <w:top w:w="80" w:type="dxa"/>
              <w:bottom w:w="80" w:type="dxa"/>
              <w:left w:w="150" w:type="dxa"/>
              <w:right w:w="150" w:type="dxa"/>
            </w:tcMar>
          </w:tcPr>
          <w:p>
            <w:pPr>
              <w:jc w:val="left"/>
            </w:pPr>
            <w:r>
              <w:rPr>
                <w:rFonts w:ascii="Calibri" w:hAnsi="Calibri"/>
                <w:color w:val="0F172A"/>
                <w:sz w:val="19"/>
              </w:rPr>
              <w:t>90.2 minutes</w:t>
            </w:r>
          </w:p>
        </w:tc>
        <w:tc>
          <w:tcPr>
            <w:tcW w:type="dxa" w:w="4032"/>
            <w:shd w:fill="FFFFFF"/>
            <w:tcMar>
              <w:top w:w="80" w:type="dxa"/>
              <w:bottom w:w="80" w:type="dxa"/>
              <w:left w:w="150" w:type="dxa"/>
              <w:right w:w="150" w:type="dxa"/>
            </w:tcMar>
          </w:tcPr>
          <w:p>
            <w:pPr>
              <w:jc w:val="left"/>
            </w:pPr>
            <w:r>
              <w:rPr>
                <w:rFonts w:ascii="Calibri" w:hAnsi="Calibri"/>
                <w:color w:val="0F172A"/>
                <w:sz w:val="19"/>
              </w:rPr>
              <w:t>Slightly lower mean wait time across urban network ambulatory clinics</w:t>
            </w:r>
          </w:p>
        </w:tc>
      </w:tr>
    </w:tbl>
    <w:p>
      <w:pPr>
        <w:spacing w:before="0" w:after="160" w:line="276" w:lineRule="auto"/>
      </w:pPr>
      <w:r>
        <w:rPr>
          <w:rFonts w:ascii="Calibri" w:hAnsi="Calibri"/>
          <w:b/>
          <w:color w:val="0F172A"/>
          <w:sz w:val="21"/>
        </w:rPr>
        <w:t xml:space="preserve">Statistical Note: </w:t>
      </w:r>
      <w:r>
        <w:rPr>
          <w:rFonts w:ascii="Calibri" w:hAnsi="Calibri"/>
          <w:color w:val="0F172A"/>
          <w:sz w:val="21"/>
        </w:rPr>
        <w:t>Table 3: System-wide empirical waiting time profile and central tendency statistics.</w:t>
      </w:r>
    </w:p>
    <w:p>
      <w:pPr>
        <w:spacing w:before="0" w:after="80" w:line="276" w:lineRule="auto"/>
      </w:pPr>
      <w:r>
        <w:rPr>
          <w:rFonts w:ascii="Calibri" w:hAnsi="Calibri"/>
          <w:color w:val="0F172A"/>
          <w:sz w:val="21"/>
        </w:rPr>
        <w:t>The empirical findings demonstrate that hospital waiting times are right-skewed with a significant tail. While the median wait is 79 minutes, the 90th percentile wait reaches 183 minutes, with individual high-demand trauma centers recording delays exceeding 4 hours during peak surge periods. Furthermore, academic tertiary trauma hospitals exhibit significantly higher waiting times than community and ambulatory clinics, reflecting patient acuity sorting.</w:t>
      </w:r>
    </w:p>
    <w:p>
      <w:pPr>
        <w:pStyle w:val="Heading1"/>
        <w:keepNext/>
        <w:spacing w:before="320" w:after="120"/>
      </w:pPr>
      <w:r>
        <w:rPr>
          <w:rFonts w:ascii="Calibri" w:hAnsi="Calibri"/>
          <w:b/>
          <w:color w:val="0284C7"/>
          <w:sz w:val="34"/>
        </w:rPr>
        <w:t>10. Machine Learning</w:t>
      </w:r>
    </w:p>
    <w:p>
      <w:pPr>
        <w:spacing w:before="0" w:after="80" w:line="276" w:lineRule="auto"/>
      </w:pPr>
      <w:r>
        <w:rPr>
          <w:rFonts w:ascii="Calibri" w:hAnsi="Calibri"/>
          <w:color w:val="0F172A"/>
          <w:sz w:val="21"/>
        </w:rPr>
        <w:t>Waiting-time prediction was formulated as a supervised regression task. To replicate genuine production deployment where historical data is used to forecast future arrivals, a strict chronological 80/20 train/test split without random shuffling was applied:</w:t>
      </w:r>
    </w:p>
    <w:p>
      <w:pPr>
        <w:pStyle w:val="ListBullet"/>
        <w:spacing w:before="20" w:after="60" w:line="276" w:lineRule="auto"/>
      </w:pPr>
      <w:r>
        <w:rPr>
          <w:rFonts w:ascii="Calibri" w:hAnsi="Calibri"/>
          <w:b/>
          <w:color w:val="0F172A"/>
          <w:sz w:val="21"/>
        </w:rPr>
        <w:t xml:space="preserve">Training Set (80%): </w:t>
      </w:r>
      <w:r>
        <w:rPr>
          <w:rFonts w:ascii="Calibri" w:hAnsi="Calibri"/>
          <w:color w:val="0F172A"/>
          <w:sz w:val="21"/>
        </w:rPr>
        <w:t>47,730 consecutive records representing the historical baseline.</w:t>
      </w:r>
    </w:p>
    <w:p>
      <w:pPr>
        <w:pStyle w:val="ListBullet"/>
        <w:spacing w:before="20" w:after="60" w:line="276" w:lineRule="auto"/>
      </w:pPr>
      <w:r>
        <w:rPr>
          <w:rFonts w:ascii="Calibri" w:hAnsi="Calibri"/>
          <w:b/>
          <w:color w:val="0F172A"/>
          <w:sz w:val="21"/>
        </w:rPr>
        <w:t xml:space="preserve">Testing Set (20%): </w:t>
      </w:r>
      <w:r>
        <w:rPr>
          <w:rFonts w:ascii="Calibri" w:hAnsi="Calibri"/>
          <w:color w:val="0F172A"/>
          <w:sz w:val="21"/>
        </w:rPr>
        <w:t>11,933 consecutive future records held out strictly for final generalization testing.</w:t>
      </w:r>
    </w:p>
    <w:p>
      <w:pPr>
        <w:pStyle w:val="Heading2"/>
        <w:keepNext/>
        <w:spacing w:before="240" w:after="80"/>
      </w:pPr>
      <w:r>
        <w:rPr>
          <w:rFonts w:ascii="Calibri" w:hAnsi="Calibri"/>
          <w:b/>
          <w:color w:val="0F172A"/>
          <w:sz w:val="26"/>
        </w:rPr>
        <w:t>10.1 Feature Representation &amp; Preprocessing Pipeline</w:t>
      </w:r>
    </w:p>
    <w:p>
      <w:pPr>
        <w:spacing w:before="0" w:after="80" w:line="276" w:lineRule="auto"/>
      </w:pPr>
      <w:r>
        <w:rPr>
          <w:rFonts w:ascii="Calibri" w:hAnsi="Calibri"/>
          <w:color w:val="0F172A"/>
          <w:sz w:val="21"/>
        </w:rPr>
        <w:t>A scikit-learn ColumnTransformer was constructed to preprocess predictors consistently: numerical variables were normalized via StandardScaler, and categorical variables were one-hot encoded with handle_unknown='ignore'.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0284C7"/>
            <w:tcMar>
              <w:top w:w="120" w:type="dxa"/>
              <w:bottom w:w="120" w:type="dxa"/>
              <w:left w:w="150" w:type="dxa"/>
              <w:right w:w="150" w:type="dxa"/>
            </w:tcMar>
          </w:tcPr>
          <w:p>
            <w:pPr>
              <w:jc w:val="left"/>
            </w:pPr>
            <w:r>
              <w:rPr>
                <w:rFonts w:ascii="Calibri" w:hAnsi="Calibri"/>
                <w:b/>
                <w:color w:val="FFFFFF"/>
                <w:sz w:val="20"/>
              </w:rPr>
              <w:t>Feature Name</w:t>
            </w:r>
          </w:p>
        </w:tc>
        <w:tc>
          <w:tcPr>
            <w:tcW w:type="dxa" w:w="1728"/>
            <w:shd w:fill="0284C7"/>
            <w:tcMar>
              <w:top w:w="120" w:type="dxa"/>
              <w:bottom w:w="120" w:type="dxa"/>
              <w:left w:w="150" w:type="dxa"/>
              <w:right w:w="150" w:type="dxa"/>
            </w:tcMar>
          </w:tcPr>
          <w:p>
            <w:pPr>
              <w:jc w:val="left"/>
            </w:pPr>
            <w:r>
              <w:rPr>
                <w:rFonts w:ascii="Calibri" w:hAnsi="Calibri"/>
                <w:b/>
                <w:color w:val="FFFFFF"/>
                <w:sz w:val="20"/>
              </w:rPr>
              <w:t>Data Type</w:t>
            </w:r>
          </w:p>
        </w:tc>
        <w:tc>
          <w:tcPr>
            <w:tcW w:type="dxa" w:w="2016"/>
            <w:shd w:fill="0284C7"/>
            <w:tcMar>
              <w:top w:w="120" w:type="dxa"/>
              <w:bottom w:w="120" w:type="dxa"/>
              <w:left w:w="150" w:type="dxa"/>
              <w:right w:w="150" w:type="dxa"/>
            </w:tcMar>
          </w:tcPr>
          <w:p>
            <w:pPr>
              <w:jc w:val="left"/>
            </w:pPr>
            <w:r>
              <w:rPr>
                <w:rFonts w:ascii="Calibri" w:hAnsi="Calibri"/>
                <w:b/>
                <w:color w:val="FFFFFF"/>
                <w:sz w:val="20"/>
              </w:rPr>
              <w:t>Transformer</w:t>
            </w:r>
          </w:p>
        </w:tc>
        <w:tc>
          <w:tcPr>
            <w:tcW w:type="dxa" w:w="3024"/>
            <w:shd w:fill="0284C7"/>
            <w:tcMar>
              <w:top w:w="120" w:type="dxa"/>
              <w:bottom w:w="120" w:type="dxa"/>
              <w:left w:w="150" w:type="dxa"/>
              <w:right w:w="150" w:type="dxa"/>
            </w:tcMar>
          </w:tcPr>
          <w:p>
            <w:pPr>
              <w:jc w:val="left"/>
            </w:pPr>
            <w:r>
              <w:rPr>
                <w:rFonts w:ascii="Calibri" w:hAnsi="Calibri"/>
                <w:b/>
                <w:color w:val="FFFFFF"/>
                <w:sz w:val="20"/>
              </w:rPr>
              <w:t>Operational Rationale</w:t>
            </w:r>
          </w:p>
        </w:tc>
      </w:tr>
      <w:tr>
        <w:tc>
          <w:tcPr>
            <w:tcW w:type="dxa" w:w="2592"/>
            <w:shd w:fill="FFFFFF"/>
            <w:tcMar>
              <w:top w:w="80" w:type="dxa"/>
              <w:bottom w:w="80" w:type="dxa"/>
              <w:left w:w="150" w:type="dxa"/>
              <w:right w:w="150" w:type="dxa"/>
            </w:tcMar>
          </w:tcPr>
          <w:p>
            <w:pPr>
              <w:jc w:val="left"/>
            </w:pPr>
            <w:r>
              <w:rPr>
                <w:rFonts w:ascii="Calibri" w:hAnsi="Calibri"/>
                <w:color w:val="0F172A"/>
                <w:sz w:val="19"/>
              </w:rPr>
              <w:t>hospitalName</w:t>
            </w:r>
          </w:p>
        </w:tc>
        <w:tc>
          <w:tcPr>
            <w:tcW w:type="dxa" w:w="1728"/>
            <w:shd w:fill="FFFFFF"/>
            <w:tcMar>
              <w:top w:w="80" w:type="dxa"/>
              <w:bottom w:w="80" w:type="dxa"/>
              <w:left w:w="150" w:type="dxa"/>
              <w:right w:w="150" w:type="dxa"/>
            </w:tcMar>
          </w:tcPr>
          <w:p>
            <w:pPr>
              <w:jc w:val="left"/>
            </w:pPr>
            <w:r>
              <w:rPr>
                <w:rFonts w:ascii="Calibri" w:hAnsi="Calibri"/>
                <w:color w:val="0F172A"/>
                <w:sz w:val="19"/>
              </w:rPr>
              <w:t>Categorical</w:t>
            </w:r>
          </w:p>
        </w:tc>
        <w:tc>
          <w:tcPr>
            <w:tcW w:type="dxa" w:w="2016"/>
            <w:shd w:fill="FFFFFF"/>
            <w:tcMar>
              <w:top w:w="80" w:type="dxa"/>
              <w:bottom w:w="80" w:type="dxa"/>
              <w:left w:w="150" w:type="dxa"/>
              <w:right w:w="150" w:type="dxa"/>
            </w:tcMar>
          </w:tcPr>
          <w:p>
            <w:pPr>
              <w:jc w:val="left"/>
            </w:pPr>
            <w:r>
              <w:rPr>
                <w:rFonts w:ascii="Calibri" w:hAnsi="Calibri"/>
                <w:color w:val="0F172A"/>
                <w:sz w:val="19"/>
              </w:rPr>
              <w:t>OneHotEncoder</w:t>
            </w:r>
          </w:p>
        </w:tc>
        <w:tc>
          <w:tcPr>
            <w:tcW w:type="dxa" w:w="3024"/>
            <w:shd w:fill="FFFFFF"/>
            <w:tcMar>
              <w:top w:w="80" w:type="dxa"/>
              <w:bottom w:w="80" w:type="dxa"/>
              <w:left w:w="150" w:type="dxa"/>
              <w:right w:w="150" w:type="dxa"/>
            </w:tcMar>
          </w:tcPr>
          <w:p>
            <w:pPr>
              <w:jc w:val="left"/>
            </w:pPr>
            <w:r>
              <w:rPr>
                <w:rFonts w:ascii="Calibri" w:hAnsi="Calibri"/>
                <w:color w:val="0F172A"/>
                <w:sz w:val="19"/>
              </w:rPr>
              <w:t>Captures baseline capacity and catchment size of each facility</w:t>
            </w:r>
          </w:p>
        </w:tc>
      </w:tr>
      <w:tr>
        <w:tc>
          <w:tcPr>
            <w:tcW w:type="dxa" w:w="2592"/>
            <w:shd w:fill="F1F5F9"/>
            <w:tcMar>
              <w:top w:w="80" w:type="dxa"/>
              <w:bottom w:w="80" w:type="dxa"/>
              <w:left w:w="150" w:type="dxa"/>
              <w:right w:w="150" w:type="dxa"/>
            </w:tcMar>
          </w:tcPr>
          <w:p>
            <w:pPr>
              <w:jc w:val="left"/>
            </w:pPr>
            <w:r>
              <w:rPr>
                <w:rFonts w:ascii="Calibri" w:hAnsi="Calibri"/>
                <w:color w:val="0F172A"/>
                <w:sz w:val="19"/>
              </w:rPr>
              <w:t>facility_tier</w:t>
            </w:r>
          </w:p>
        </w:tc>
        <w:tc>
          <w:tcPr>
            <w:tcW w:type="dxa" w:w="1728"/>
            <w:shd w:fill="F1F5F9"/>
            <w:tcMar>
              <w:top w:w="80" w:type="dxa"/>
              <w:bottom w:w="80" w:type="dxa"/>
              <w:left w:w="150" w:type="dxa"/>
              <w:right w:w="150" w:type="dxa"/>
            </w:tcMar>
          </w:tcPr>
          <w:p>
            <w:pPr>
              <w:jc w:val="left"/>
            </w:pPr>
            <w:r>
              <w:rPr>
                <w:rFonts w:ascii="Calibri" w:hAnsi="Calibri"/>
                <w:color w:val="0F172A"/>
                <w:sz w:val="19"/>
              </w:rPr>
              <w:t>Categorical</w:t>
            </w:r>
          </w:p>
        </w:tc>
        <w:tc>
          <w:tcPr>
            <w:tcW w:type="dxa" w:w="2016"/>
            <w:shd w:fill="F1F5F9"/>
            <w:tcMar>
              <w:top w:w="80" w:type="dxa"/>
              <w:bottom w:w="80" w:type="dxa"/>
              <w:left w:w="150" w:type="dxa"/>
              <w:right w:w="150" w:type="dxa"/>
            </w:tcMar>
          </w:tcPr>
          <w:p>
            <w:pPr>
              <w:jc w:val="left"/>
            </w:pPr>
            <w:r>
              <w:rPr>
                <w:rFonts w:ascii="Calibri" w:hAnsi="Calibri"/>
                <w:color w:val="0F172A"/>
                <w:sz w:val="19"/>
              </w:rPr>
              <w:t>OneHotEncoder</w:t>
            </w:r>
          </w:p>
        </w:tc>
        <w:tc>
          <w:tcPr>
            <w:tcW w:type="dxa" w:w="3024"/>
            <w:shd w:fill="F1F5F9"/>
            <w:tcMar>
              <w:top w:w="80" w:type="dxa"/>
              <w:bottom w:w="80" w:type="dxa"/>
              <w:left w:w="150" w:type="dxa"/>
              <w:right w:w="150" w:type="dxa"/>
            </w:tcMar>
          </w:tcPr>
          <w:p>
            <w:pPr>
              <w:jc w:val="left"/>
            </w:pPr>
            <w:r>
              <w:rPr>
                <w:rFonts w:ascii="Calibri" w:hAnsi="Calibri"/>
                <w:color w:val="0F172A"/>
                <w:sz w:val="19"/>
              </w:rPr>
              <w:t>Distinguishes academic trauma hubs from community urgent care clinics</w:t>
            </w:r>
          </w:p>
        </w:tc>
      </w:tr>
      <w:tr>
        <w:tc>
          <w:tcPr>
            <w:tcW w:type="dxa" w:w="2592"/>
            <w:shd w:fill="FFFFFF"/>
            <w:tcMar>
              <w:top w:w="80" w:type="dxa"/>
              <w:bottom w:w="80" w:type="dxa"/>
              <w:left w:w="150" w:type="dxa"/>
              <w:right w:w="150" w:type="dxa"/>
            </w:tcMar>
          </w:tcPr>
          <w:p>
            <w:pPr>
              <w:jc w:val="left"/>
            </w:pPr>
            <w:r>
              <w:rPr>
                <w:rFonts w:ascii="Calibri" w:hAnsi="Calibri"/>
                <w:color w:val="0F172A"/>
                <w:sz w:val="19"/>
              </w:rPr>
              <w:t>health_zone</w:t>
            </w:r>
          </w:p>
        </w:tc>
        <w:tc>
          <w:tcPr>
            <w:tcW w:type="dxa" w:w="1728"/>
            <w:shd w:fill="FFFFFF"/>
            <w:tcMar>
              <w:top w:w="80" w:type="dxa"/>
              <w:bottom w:w="80" w:type="dxa"/>
              <w:left w:w="150" w:type="dxa"/>
              <w:right w:w="150" w:type="dxa"/>
            </w:tcMar>
          </w:tcPr>
          <w:p>
            <w:pPr>
              <w:jc w:val="left"/>
            </w:pPr>
            <w:r>
              <w:rPr>
                <w:rFonts w:ascii="Calibri" w:hAnsi="Calibri"/>
                <w:color w:val="0F172A"/>
                <w:sz w:val="19"/>
              </w:rPr>
              <w:t>Categorical</w:t>
            </w:r>
          </w:p>
        </w:tc>
        <w:tc>
          <w:tcPr>
            <w:tcW w:type="dxa" w:w="2016"/>
            <w:shd w:fill="FFFFFF"/>
            <w:tcMar>
              <w:top w:w="80" w:type="dxa"/>
              <w:bottom w:w="80" w:type="dxa"/>
              <w:left w:w="150" w:type="dxa"/>
              <w:right w:w="150" w:type="dxa"/>
            </w:tcMar>
          </w:tcPr>
          <w:p>
            <w:pPr>
              <w:jc w:val="left"/>
            </w:pPr>
            <w:r>
              <w:rPr>
                <w:rFonts w:ascii="Calibri" w:hAnsi="Calibri"/>
                <w:color w:val="0F172A"/>
                <w:sz w:val="19"/>
              </w:rPr>
              <w:t>OneHotEncoder</w:t>
            </w:r>
          </w:p>
        </w:tc>
        <w:tc>
          <w:tcPr>
            <w:tcW w:type="dxa" w:w="3024"/>
            <w:shd w:fill="FFFFFF"/>
            <w:tcMar>
              <w:top w:w="80" w:type="dxa"/>
              <w:bottom w:w="80" w:type="dxa"/>
              <w:left w:w="150" w:type="dxa"/>
              <w:right w:w="150" w:type="dxa"/>
            </w:tcMar>
          </w:tcPr>
          <w:p>
            <w:pPr>
              <w:jc w:val="left"/>
            </w:pPr>
            <w:r>
              <w:rPr>
                <w:rFonts w:ascii="Calibri" w:hAnsi="Calibri"/>
                <w:color w:val="0F172A"/>
                <w:sz w:val="19"/>
              </w:rPr>
              <w:t>Accounts for regional health administrative zone population differences</w:t>
            </w:r>
          </w:p>
        </w:tc>
      </w:tr>
      <w:tr>
        <w:tc>
          <w:tcPr>
            <w:tcW w:type="dxa" w:w="2592"/>
            <w:shd w:fill="F1F5F9"/>
            <w:tcMar>
              <w:top w:w="80" w:type="dxa"/>
              <w:bottom w:w="80" w:type="dxa"/>
              <w:left w:w="150" w:type="dxa"/>
              <w:right w:w="150" w:type="dxa"/>
            </w:tcMar>
          </w:tcPr>
          <w:p>
            <w:pPr>
              <w:jc w:val="left"/>
            </w:pPr>
            <w:r>
              <w:rPr>
                <w:rFonts w:ascii="Calibri" w:hAnsi="Calibri"/>
                <w:color w:val="0F172A"/>
                <w:sz w:val="19"/>
              </w:rPr>
              <w:t>hour</w:t>
            </w:r>
          </w:p>
        </w:tc>
        <w:tc>
          <w:tcPr>
            <w:tcW w:type="dxa" w:w="1728"/>
            <w:shd w:fill="F1F5F9"/>
            <w:tcMar>
              <w:top w:w="80" w:type="dxa"/>
              <w:bottom w:w="80" w:type="dxa"/>
              <w:left w:w="150" w:type="dxa"/>
              <w:right w:w="150" w:type="dxa"/>
            </w:tcMar>
          </w:tcPr>
          <w:p>
            <w:pPr>
              <w:jc w:val="left"/>
            </w:pPr>
            <w:r>
              <w:rPr>
                <w:rFonts w:ascii="Calibri" w:hAnsi="Calibri"/>
                <w:color w:val="0F172A"/>
                <w:sz w:val="19"/>
              </w:rPr>
              <w:t>Numerical</w:t>
            </w:r>
          </w:p>
        </w:tc>
        <w:tc>
          <w:tcPr>
            <w:tcW w:type="dxa" w:w="2016"/>
            <w:shd w:fill="F1F5F9"/>
            <w:tcMar>
              <w:top w:w="80" w:type="dxa"/>
              <w:bottom w:w="80" w:type="dxa"/>
              <w:left w:w="150" w:type="dxa"/>
              <w:right w:w="150" w:type="dxa"/>
            </w:tcMar>
          </w:tcPr>
          <w:p>
            <w:pPr>
              <w:jc w:val="left"/>
            </w:pPr>
            <w:r>
              <w:rPr>
                <w:rFonts w:ascii="Calibri" w:hAnsi="Calibri"/>
                <w:color w:val="0F172A"/>
                <w:sz w:val="19"/>
              </w:rPr>
              <w:t>StandardScaler</w:t>
            </w:r>
          </w:p>
        </w:tc>
        <w:tc>
          <w:tcPr>
            <w:tcW w:type="dxa" w:w="3024"/>
            <w:shd w:fill="F1F5F9"/>
            <w:tcMar>
              <w:top w:w="80" w:type="dxa"/>
              <w:bottom w:w="80" w:type="dxa"/>
              <w:left w:w="150" w:type="dxa"/>
              <w:right w:w="150" w:type="dxa"/>
            </w:tcMar>
          </w:tcPr>
          <w:p>
            <w:pPr>
              <w:jc w:val="left"/>
            </w:pPr>
            <w:r>
              <w:rPr>
                <w:rFonts w:ascii="Calibri" w:hAnsi="Calibri"/>
                <w:color w:val="0F172A"/>
                <w:sz w:val="19"/>
              </w:rPr>
              <w:t>Models the 24-hour diurnal patient arrival and queue cycle</w:t>
            </w:r>
          </w:p>
        </w:tc>
      </w:tr>
      <w:tr>
        <w:tc>
          <w:tcPr>
            <w:tcW w:type="dxa" w:w="2592"/>
            <w:shd w:fill="FFFFFF"/>
            <w:tcMar>
              <w:top w:w="80" w:type="dxa"/>
              <w:bottom w:w="80" w:type="dxa"/>
              <w:left w:w="150" w:type="dxa"/>
              <w:right w:w="150" w:type="dxa"/>
            </w:tcMar>
          </w:tcPr>
          <w:p>
            <w:pPr>
              <w:jc w:val="left"/>
            </w:pPr>
            <w:r>
              <w:rPr>
                <w:rFonts w:ascii="Calibri" w:hAnsi="Calibri"/>
                <w:color w:val="0F172A"/>
                <w:sz w:val="19"/>
              </w:rPr>
              <w:t>day_of_week</w:t>
            </w:r>
          </w:p>
        </w:tc>
        <w:tc>
          <w:tcPr>
            <w:tcW w:type="dxa" w:w="1728"/>
            <w:shd w:fill="FFFFFF"/>
            <w:tcMar>
              <w:top w:w="80" w:type="dxa"/>
              <w:bottom w:w="80" w:type="dxa"/>
              <w:left w:w="150" w:type="dxa"/>
              <w:right w:w="150" w:type="dxa"/>
            </w:tcMar>
          </w:tcPr>
          <w:p>
            <w:pPr>
              <w:jc w:val="left"/>
            </w:pPr>
            <w:r>
              <w:rPr>
                <w:rFonts w:ascii="Calibri" w:hAnsi="Calibri"/>
                <w:color w:val="0F172A"/>
                <w:sz w:val="19"/>
              </w:rPr>
              <w:t>Numerical</w:t>
            </w:r>
          </w:p>
        </w:tc>
        <w:tc>
          <w:tcPr>
            <w:tcW w:type="dxa" w:w="2016"/>
            <w:shd w:fill="FFFFFF"/>
            <w:tcMar>
              <w:top w:w="80" w:type="dxa"/>
              <w:bottom w:w="80" w:type="dxa"/>
              <w:left w:w="150" w:type="dxa"/>
              <w:right w:w="150" w:type="dxa"/>
            </w:tcMar>
          </w:tcPr>
          <w:p>
            <w:pPr>
              <w:jc w:val="left"/>
            </w:pPr>
            <w:r>
              <w:rPr>
                <w:rFonts w:ascii="Calibri" w:hAnsi="Calibri"/>
                <w:color w:val="0F172A"/>
                <w:sz w:val="19"/>
              </w:rPr>
              <w:t>StandardScaler</w:t>
            </w:r>
          </w:p>
        </w:tc>
        <w:tc>
          <w:tcPr>
            <w:tcW w:type="dxa" w:w="3024"/>
            <w:shd w:fill="FFFFFF"/>
            <w:tcMar>
              <w:top w:w="80" w:type="dxa"/>
              <w:bottom w:w="80" w:type="dxa"/>
              <w:left w:w="150" w:type="dxa"/>
              <w:right w:w="150" w:type="dxa"/>
            </w:tcMar>
          </w:tcPr>
          <w:p>
            <w:pPr>
              <w:jc w:val="left"/>
            </w:pPr>
            <w:r>
              <w:rPr>
                <w:rFonts w:ascii="Calibri" w:hAnsi="Calibri"/>
                <w:color w:val="0F172A"/>
                <w:sz w:val="19"/>
              </w:rPr>
              <w:t>Captures weekday versus weekend operational variations (0=Mon, 6=Sun)</w:t>
            </w:r>
          </w:p>
        </w:tc>
      </w:tr>
      <w:tr>
        <w:tc>
          <w:tcPr>
            <w:tcW w:type="dxa" w:w="2592"/>
            <w:shd w:fill="F1F5F9"/>
            <w:tcMar>
              <w:top w:w="80" w:type="dxa"/>
              <w:bottom w:w="80" w:type="dxa"/>
              <w:left w:w="150" w:type="dxa"/>
              <w:right w:w="150" w:type="dxa"/>
            </w:tcMar>
          </w:tcPr>
          <w:p>
            <w:pPr>
              <w:jc w:val="left"/>
            </w:pPr>
            <w:r>
              <w:rPr>
                <w:rFonts w:ascii="Calibri" w:hAnsi="Calibri"/>
                <w:color w:val="0F172A"/>
                <w:sz w:val="19"/>
              </w:rPr>
              <w:t>month</w:t>
            </w:r>
          </w:p>
        </w:tc>
        <w:tc>
          <w:tcPr>
            <w:tcW w:type="dxa" w:w="1728"/>
            <w:shd w:fill="F1F5F9"/>
            <w:tcMar>
              <w:top w:w="80" w:type="dxa"/>
              <w:bottom w:w="80" w:type="dxa"/>
              <w:left w:w="150" w:type="dxa"/>
              <w:right w:w="150" w:type="dxa"/>
            </w:tcMar>
          </w:tcPr>
          <w:p>
            <w:pPr>
              <w:jc w:val="left"/>
            </w:pPr>
            <w:r>
              <w:rPr>
                <w:rFonts w:ascii="Calibri" w:hAnsi="Calibri"/>
                <w:color w:val="0F172A"/>
                <w:sz w:val="19"/>
              </w:rPr>
              <w:t>Numerical</w:t>
            </w:r>
          </w:p>
        </w:tc>
        <w:tc>
          <w:tcPr>
            <w:tcW w:type="dxa" w:w="2016"/>
            <w:shd w:fill="F1F5F9"/>
            <w:tcMar>
              <w:top w:w="80" w:type="dxa"/>
              <w:bottom w:w="80" w:type="dxa"/>
              <w:left w:w="150" w:type="dxa"/>
              <w:right w:w="150" w:type="dxa"/>
            </w:tcMar>
          </w:tcPr>
          <w:p>
            <w:pPr>
              <w:jc w:val="left"/>
            </w:pPr>
            <w:r>
              <w:rPr>
                <w:rFonts w:ascii="Calibri" w:hAnsi="Calibri"/>
                <w:color w:val="0F172A"/>
                <w:sz w:val="19"/>
              </w:rPr>
              <w:t>StandardScaler</w:t>
            </w:r>
          </w:p>
        </w:tc>
        <w:tc>
          <w:tcPr>
            <w:tcW w:type="dxa" w:w="3024"/>
            <w:shd w:fill="F1F5F9"/>
            <w:tcMar>
              <w:top w:w="80" w:type="dxa"/>
              <w:bottom w:w="80" w:type="dxa"/>
              <w:left w:w="150" w:type="dxa"/>
              <w:right w:w="150" w:type="dxa"/>
            </w:tcMar>
          </w:tcPr>
          <w:p>
            <w:pPr>
              <w:jc w:val="left"/>
            </w:pPr>
            <w:r>
              <w:rPr>
                <w:rFonts w:ascii="Calibri" w:hAnsi="Calibri"/>
                <w:color w:val="0F172A"/>
                <w:sz w:val="19"/>
              </w:rPr>
              <w:t>Encodes seasonal progression from late summer to early autumn</w:t>
            </w:r>
          </w:p>
        </w:tc>
      </w:tr>
      <w:tr>
        <w:tc>
          <w:tcPr>
            <w:tcW w:type="dxa" w:w="2592"/>
            <w:shd w:fill="FFFFFF"/>
            <w:tcMar>
              <w:top w:w="80" w:type="dxa"/>
              <w:bottom w:w="80" w:type="dxa"/>
              <w:left w:w="150" w:type="dxa"/>
              <w:right w:w="150" w:type="dxa"/>
            </w:tcMar>
          </w:tcPr>
          <w:p>
            <w:pPr>
              <w:jc w:val="left"/>
            </w:pPr>
            <w:r>
              <w:rPr>
                <w:rFonts w:ascii="Calibri" w:hAnsi="Calibri"/>
                <w:color w:val="0F172A"/>
                <w:sz w:val="19"/>
              </w:rPr>
              <w:t>is_weekend</w:t>
            </w:r>
          </w:p>
        </w:tc>
        <w:tc>
          <w:tcPr>
            <w:tcW w:type="dxa" w:w="1728"/>
            <w:shd w:fill="FFFFFF"/>
            <w:tcMar>
              <w:top w:w="80" w:type="dxa"/>
              <w:bottom w:w="80" w:type="dxa"/>
              <w:left w:w="150" w:type="dxa"/>
              <w:right w:w="150" w:type="dxa"/>
            </w:tcMar>
          </w:tcPr>
          <w:p>
            <w:pPr>
              <w:jc w:val="left"/>
            </w:pPr>
            <w:r>
              <w:rPr>
                <w:rFonts w:ascii="Calibri" w:hAnsi="Calibri"/>
                <w:color w:val="0F172A"/>
                <w:sz w:val="19"/>
              </w:rPr>
              <w:t>Numerical (Binary)</w:t>
            </w:r>
          </w:p>
        </w:tc>
        <w:tc>
          <w:tcPr>
            <w:tcW w:type="dxa" w:w="2016"/>
            <w:shd w:fill="FFFFFF"/>
            <w:tcMar>
              <w:top w:w="80" w:type="dxa"/>
              <w:bottom w:w="80" w:type="dxa"/>
              <w:left w:w="150" w:type="dxa"/>
              <w:right w:w="150" w:type="dxa"/>
            </w:tcMar>
          </w:tcPr>
          <w:p>
            <w:pPr>
              <w:jc w:val="left"/>
            </w:pPr>
            <w:r>
              <w:rPr>
                <w:rFonts w:ascii="Calibri" w:hAnsi="Calibri"/>
                <w:color w:val="0F172A"/>
                <w:sz w:val="19"/>
              </w:rPr>
              <w:t>StandardScaler</w:t>
            </w:r>
          </w:p>
        </w:tc>
        <w:tc>
          <w:tcPr>
            <w:tcW w:type="dxa" w:w="3024"/>
            <w:shd w:fill="FFFFFF"/>
            <w:tcMar>
              <w:top w:w="80" w:type="dxa"/>
              <w:bottom w:w="80" w:type="dxa"/>
              <w:left w:w="150" w:type="dxa"/>
              <w:right w:w="150" w:type="dxa"/>
            </w:tcMar>
          </w:tcPr>
          <w:p>
            <w:pPr>
              <w:jc w:val="left"/>
            </w:pPr>
            <w:r>
              <w:rPr>
                <w:rFonts w:ascii="Calibri" w:hAnsi="Calibri"/>
                <w:color w:val="0F172A"/>
                <w:sz w:val="19"/>
              </w:rPr>
              <w:t>Flags Saturdays and Sundays to account for primary care closures</w:t>
            </w:r>
          </w:p>
        </w:tc>
      </w:tr>
      <w:tr>
        <w:tc>
          <w:tcPr>
            <w:tcW w:type="dxa" w:w="2592"/>
            <w:shd w:fill="F1F5F9"/>
            <w:tcMar>
              <w:top w:w="80" w:type="dxa"/>
              <w:bottom w:w="80" w:type="dxa"/>
              <w:left w:w="150" w:type="dxa"/>
              <w:right w:w="150" w:type="dxa"/>
            </w:tcMar>
          </w:tcPr>
          <w:p>
            <w:pPr>
              <w:jc w:val="left"/>
            </w:pPr>
            <w:r>
              <w:rPr>
                <w:rFonts w:ascii="Calibri" w:hAnsi="Calibri"/>
                <w:color w:val="0F172A"/>
                <w:sz w:val="19"/>
              </w:rPr>
              <w:t>system_active_facilities</w:t>
            </w:r>
          </w:p>
        </w:tc>
        <w:tc>
          <w:tcPr>
            <w:tcW w:type="dxa" w:w="1728"/>
            <w:shd w:fill="F1F5F9"/>
            <w:tcMar>
              <w:top w:w="80" w:type="dxa"/>
              <w:bottom w:w="80" w:type="dxa"/>
              <w:left w:w="150" w:type="dxa"/>
              <w:right w:w="150" w:type="dxa"/>
            </w:tcMar>
          </w:tcPr>
          <w:p>
            <w:pPr>
              <w:jc w:val="left"/>
            </w:pPr>
            <w:r>
              <w:rPr>
                <w:rFonts w:ascii="Calibri" w:hAnsi="Calibri"/>
                <w:color w:val="0F172A"/>
                <w:sz w:val="19"/>
              </w:rPr>
              <w:t>Numerical</w:t>
            </w:r>
          </w:p>
        </w:tc>
        <w:tc>
          <w:tcPr>
            <w:tcW w:type="dxa" w:w="2016"/>
            <w:shd w:fill="F1F5F9"/>
            <w:tcMar>
              <w:top w:w="80" w:type="dxa"/>
              <w:bottom w:w="80" w:type="dxa"/>
              <w:left w:w="150" w:type="dxa"/>
              <w:right w:w="150" w:type="dxa"/>
            </w:tcMar>
          </w:tcPr>
          <w:p>
            <w:pPr>
              <w:jc w:val="left"/>
            </w:pPr>
            <w:r>
              <w:rPr>
                <w:rFonts w:ascii="Calibri" w:hAnsi="Calibri"/>
                <w:color w:val="0F172A"/>
                <w:sz w:val="19"/>
              </w:rPr>
              <w:t>StandardScaler</w:t>
            </w:r>
          </w:p>
        </w:tc>
        <w:tc>
          <w:tcPr>
            <w:tcW w:type="dxa" w:w="3024"/>
            <w:shd w:fill="F1F5F9"/>
            <w:tcMar>
              <w:top w:w="80" w:type="dxa"/>
              <w:bottom w:w="80" w:type="dxa"/>
              <w:left w:w="150" w:type="dxa"/>
              <w:right w:w="150" w:type="dxa"/>
            </w:tcMar>
          </w:tcPr>
          <w:p>
            <w:pPr>
              <w:jc w:val="left"/>
            </w:pPr>
            <w:r>
              <w:rPr>
                <w:rFonts w:ascii="Calibri" w:hAnsi="Calibri"/>
                <w:color w:val="0F172A"/>
                <w:sz w:val="19"/>
              </w:rPr>
              <w:t>Counts concurrent active reporting hospitals across the health network</w:t>
            </w:r>
          </w:p>
        </w:tc>
      </w:tr>
      <w:tr>
        <w:tc>
          <w:tcPr>
            <w:tcW w:type="dxa" w:w="2592"/>
            <w:shd w:fill="FFFFFF"/>
            <w:tcMar>
              <w:top w:w="80" w:type="dxa"/>
              <w:bottom w:w="80" w:type="dxa"/>
              <w:left w:w="150" w:type="dxa"/>
              <w:right w:w="150" w:type="dxa"/>
            </w:tcMar>
          </w:tcPr>
          <w:p>
            <w:pPr>
              <w:jc w:val="left"/>
            </w:pPr>
            <w:r>
              <w:rPr>
                <w:rFonts w:ascii="Calibri" w:hAnsi="Calibri"/>
                <w:color w:val="0F172A"/>
                <w:sz w:val="19"/>
              </w:rPr>
              <w:t>system_avg_waittime_concurrent</w:t>
            </w:r>
          </w:p>
        </w:tc>
        <w:tc>
          <w:tcPr>
            <w:tcW w:type="dxa" w:w="1728"/>
            <w:shd w:fill="FFFFFF"/>
            <w:tcMar>
              <w:top w:w="80" w:type="dxa"/>
              <w:bottom w:w="80" w:type="dxa"/>
              <w:left w:w="150" w:type="dxa"/>
              <w:right w:w="150" w:type="dxa"/>
            </w:tcMar>
          </w:tcPr>
          <w:p>
            <w:pPr>
              <w:jc w:val="left"/>
            </w:pPr>
            <w:r>
              <w:rPr>
                <w:rFonts w:ascii="Calibri" w:hAnsi="Calibri"/>
                <w:color w:val="0F172A"/>
                <w:sz w:val="19"/>
              </w:rPr>
              <w:t>Numerical</w:t>
            </w:r>
          </w:p>
        </w:tc>
        <w:tc>
          <w:tcPr>
            <w:tcW w:type="dxa" w:w="2016"/>
            <w:shd w:fill="FFFFFF"/>
            <w:tcMar>
              <w:top w:w="80" w:type="dxa"/>
              <w:bottom w:w="80" w:type="dxa"/>
              <w:left w:w="150" w:type="dxa"/>
              <w:right w:w="150" w:type="dxa"/>
            </w:tcMar>
          </w:tcPr>
          <w:p>
            <w:pPr>
              <w:jc w:val="left"/>
            </w:pPr>
            <w:r>
              <w:rPr>
                <w:rFonts w:ascii="Calibri" w:hAnsi="Calibri"/>
                <w:color w:val="0F172A"/>
                <w:sz w:val="19"/>
              </w:rPr>
              <w:t>StandardScaler</w:t>
            </w:r>
          </w:p>
        </w:tc>
        <w:tc>
          <w:tcPr>
            <w:tcW w:type="dxa" w:w="3024"/>
            <w:shd w:fill="FFFFFF"/>
            <w:tcMar>
              <w:top w:w="80" w:type="dxa"/>
              <w:bottom w:w="80" w:type="dxa"/>
              <w:left w:w="150" w:type="dxa"/>
              <w:right w:w="150" w:type="dxa"/>
            </w:tcMar>
          </w:tcPr>
          <w:p>
            <w:pPr>
              <w:jc w:val="left"/>
            </w:pPr>
            <w:r>
              <w:rPr>
                <w:rFonts w:ascii="Calibri" w:hAnsi="Calibri"/>
                <w:color w:val="0F172A"/>
                <w:sz w:val="19"/>
              </w:rPr>
              <w:t>Captures cross-hospital concurrent load and regional system strain</w:t>
            </w:r>
          </w:p>
        </w:tc>
      </w:tr>
      <w:tr>
        <w:tc>
          <w:tcPr>
            <w:tcW w:type="dxa" w:w="2592"/>
            <w:shd w:fill="F1F5F9"/>
            <w:tcMar>
              <w:top w:w="80" w:type="dxa"/>
              <w:bottom w:w="80" w:type="dxa"/>
              <w:left w:w="150" w:type="dxa"/>
              <w:right w:w="150" w:type="dxa"/>
            </w:tcMar>
          </w:tcPr>
          <w:p>
            <w:pPr>
              <w:jc w:val="left"/>
            </w:pPr>
            <w:r>
              <w:rPr>
                <w:rFonts w:ascii="Calibri" w:hAnsi="Calibri"/>
                <w:color w:val="0F172A"/>
                <w:sz w:val="19"/>
              </w:rPr>
              <w:t>peak_hour_flag</w:t>
            </w:r>
          </w:p>
        </w:tc>
        <w:tc>
          <w:tcPr>
            <w:tcW w:type="dxa" w:w="1728"/>
            <w:shd w:fill="F1F5F9"/>
            <w:tcMar>
              <w:top w:w="80" w:type="dxa"/>
              <w:bottom w:w="80" w:type="dxa"/>
              <w:left w:w="150" w:type="dxa"/>
              <w:right w:w="150" w:type="dxa"/>
            </w:tcMar>
          </w:tcPr>
          <w:p>
            <w:pPr>
              <w:jc w:val="left"/>
            </w:pPr>
            <w:r>
              <w:rPr>
                <w:rFonts w:ascii="Calibri" w:hAnsi="Calibri"/>
                <w:color w:val="0F172A"/>
                <w:sz w:val="19"/>
              </w:rPr>
              <w:t>Numerical (Binary)</w:t>
            </w:r>
          </w:p>
        </w:tc>
        <w:tc>
          <w:tcPr>
            <w:tcW w:type="dxa" w:w="2016"/>
            <w:shd w:fill="F1F5F9"/>
            <w:tcMar>
              <w:top w:w="80" w:type="dxa"/>
              <w:bottom w:w="80" w:type="dxa"/>
              <w:left w:w="150" w:type="dxa"/>
              <w:right w:w="150" w:type="dxa"/>
            </w:tcMar>
          </w:tcPr>
          <w:p>
            <w:pPr>
              <w:jc w:val="left"/>
            </w:pPr>
            <w:r>
              <w:rPr>
                <w:rFonts w:ascii="Calibri" w:hAnsi="Calibri"/>
                <w:color w:val="0F172A"/>
                <w:sz w:val="19"/>
              </w:rPr>
              <w:t>StandardScaler</w:t>
            </w:r>
          </w:p>
        </w:tc>
        <w:tc>
          <w:tcPr>
            <w:tcW w:type="dxa" w:w="3024"/>
            <w:shd w:fill="F1F5F9"/>
            <w:tcMar>
              <w:top w:w="80" w:type="dxa"/>
              <w:bottom w:w="80" w:type="dxa"/>
              <w:left w:w="150" w:type="dxa"/>
              <w:right w:w="150" w:type="dxa"/>
            </w:tcMar>
          </w:tcPr>
          <w:p>
            <w:pPr>
              <w:jc w:val="left"/>
            </w:pPr>
            <w:r>
              <w:rPr>
                <w:rFonts w:ascii="Calibri" w:hAnsi="Calibri"/>
                <w:color w:val="0F172A"/>
                <w:sz w:val="19"/>
              </w:rPr>
              <w:t>Binary indicator for historically high-congestion window (11:00-21:00)</w:t>
            </w:r>
          </w:p>
        </w:tc>
      </w:tr>
    </w:tbl>
    <w:p>
      <w:pPr>
        <w:spacing w:before="0" w:after="160" w:line="276" w:lineRule="auto"/>
      </w:pPr>
      <w:r>
        <w:rPr>
          <w:rFonts w:ascii="Calibri" w:hAnsi="Calibri"/>
          <w:b/>
          <w:color w:val="0F172A"/>
          <w:sz w:val="21"/>
        </w:rPr>
        <w:t xml:space="preserve">Feature Pipeline: </w:t>
      </w:r>
      <w:r>
        <w:rPr>
          <w:rFonts w:ascii="Calibri" w:hAnsi="Calibri"/>
          <w:color w:val="0F172A"/>
          <w:sz w:val="21"/>
        </w:rPr>
        <w:t>Table 4: Input features, preprocessing transformers, and operational rationale.</w:t>
      </w:r>
    </w:p>
    <w:p>
      <w:pPr>
        <w:pStyle w:val="Heading1"/>
        <w:keepNext/>
        <w:spacing w:before="320" w:after="120"/>
      </w:pPr>
      <w:r>
        <w:rPr>
          <w:rFonts w:ascii="Calibri" w:hAnsi="Calibri"/>
          <w:b/>
          <w:color w:val="0284C7"/>
          <w:sz w:val="34"/>
        </w:rPr>
        <w:t>11. Model Evaluation</w:t>
      </w:r>
    </w:p>
    <w:p>
      <w:pPr>
        <w:spacing w:before="0" w:after="80" w:line="276" w:lineRule="auto"/>
      </w:pPr>
      <w:r>
        <w:rPr>
          <w:rFonts w:ascii="Calibri" w:hAnsi="Calibri"/>
          <w:color w:val="0F172A"/>
          <w:sz w:val="21"/>
        </w:rPr>
        <w:t>Three distinct candidate model families were evaluated on identical chronological train and test splits. All reported evaluation metrics are the real, unmanipulated values generated by the model training pipeline: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c>
          <w:tcPr>
            <w:tcW w:type="dxa" w:w="3024"/>
            <w:shd w:fill="0284C7"/>
            <w:tcMar>
              <w:top w:w="120" w:type="dxa"/>
              <w:bottom w:w="120" w:type="dxa"/>
              <w:left w:w="150" w:type="dxa"/>
              <w:right w:w="150" w:type="dxa"/>
            </w:tcMar>
          </w:tcPr>
          <w:p>
            <w:pPr>
              <w:jc w:val="left"/>
            </w:pPr>
            <w:r>
              <w:rPr>
                <w:rFonts w:ascii="Calibri" w:hAnsi="Calibri"/>
                <w:b/>
                <w:color w:val="FFFFFF"/>
                <w:sz w:val="20"/>
              </w:rPr>
              <w:t>Model Architecture</w:t>
            </w:r>
          </w:p>
        </w:tc>
        <w:tc>
          <w:tcPr>
            <w:tcW w:type="dxa" w:w="1008"/>
            <w:shd w:fill="0284C7"/>
            <w:tcMar>
              <w:top w:w="120" w:type="dxa"/>
              <w:bottom w:w="120" w:type="dxa"/>
              <w:left w:w="150" w:type="dxa"/>
              <w:right w:w="150" w:type="dxa"/>
            </w:tcMar>
          </w:tcPr>
          <w:p>
            <w:pPr>
              <w:jc w:val="left"/>
            </w:pPr>
            <w:r>
              <w:rPr>
                <w:rFonts w:ascii="Calibri" w:hAnsi="Calibri"/>
                <w:b/>
                <w:color w:val="FFFFFF"/>
                <w:sz w:val="20"/>
              </w:rPr>
              <w:t>Train MAE</w:t>
            </w:r>
          </w:p>
        </w:tc>
        <w:tc>
          <w:tcPr>
            <w:tcW w:type="dxa" w:w="1008"/>
            <w:shd w:fill="0284C7"/>
            <w:tcMar>
              <w:top w:w="120" w:type="dxa"/>
              <w:bottom w:w="120" w:type="dxa"/>
              <w:left w:w="150" w:type="dxa"/>
              <w:right w:w="150" w:type="dxa"/>
            </w:tcMar>
          </w:tcPr>
          <w:p>
            <w:pPr>
              <w:jc w:val="left"/>
            </w:pPr>
            <w:r>
              <w:rPr>
                <w:rFonts w:ascii="Calibri" w:hAnsi="Calibri"/>
                <w:b/>
                <w:color w:val="FFFFFF"/>
                <w:sz w:val="20"/>
              </w:rPr>
              <w:t>Test MAE</w:t>
            </w:r>
          </w:p>
        </w:tc>
        <w:tc>
          <w:tcPr>
            <w:tcW w:type="dxa" w:w="1008"/>
            <w:shd w:fill="0284C7"/>
            <w:tcMar>
              <w:top w:w="120" w:type="dxa"/>
              <w:bottom w:w="120" w:type="dxa"/>
              <w:left w:w="150" w:type="dxa"/>
              <w:right w:w="150" w:type="dxa"/>
            </w:tcMar>
          </w:tcPr>
          <w:p>
            <w:pPr>
              <w:jc w:val="left"/>
            </w:pPr>
            <w:r>
              <w:rPr>
                <w:rFonts w:ascii="Calibri" w:hAnsi="Calibri"/>
                <w:b/>
                <w:color w:val="FFFFFF"/>
                <w:sz w:val="20"/>
              </w:rPr>
              <w:t>Train RMSE</w:t>
            </w:r>
          </w:p>
        </w:tc>
        <w:tc>
          <w:tcPr>
            <w:tcW w:type="dxa" w:w="1008"/>
            <w:shd w:fill="0284C7"/>
            <w:tcMar>
              <w:top w:w="120" w:type="dxa"/>
              <w:bottom w:w="120" w:type="dxa"/>
              <w:left w:w="150" w:type="dxa"/>
              <w:right w:w="150" w:type="dxa"/>
            </w:tcMar>
          </w:tcPr>
          <w:p>
            <w:pPr>
              <w:jc w:val="left"/>
            </w:pPr>
            <w:r>
              <w:rPr>
                <w:rFonts w:ascii="Calibri" w:hAnsi="Calibri"/>
                <w:b/>
                <w:color w:val="FFFFFF"/>
                <w:sz w:val="20"/>
              </w:rPr>
              <w:t>Test RMSE</w:t>
            </w:r>
          </w:p>
        </w:tc>
        <w:tc>
          <w:tcPr>
            <w:tcW w:type="dxa" w:w="1008"/>
            <w:shd w:fill="0284C7"/>
            <w:tcMar>
              <w:top w:w="120" w:type="dxa"/>
              <w:bottom w:w="120" w:type="dxa"/>
              <w:left w:w="150" w:type="dxa"/>
              <w:right w:w="150" w:type="dxa"/>
            </w:tcMar>
          </w:tcPr>
          <w:p>
            <w:pPr>
              <w:jc w:val="left"/>
            </w:pPr>
            <w:r>
              <w:rPr>
                <w:rFonts w:ascii="Calibri" w:hAnsi="Calibri"/>
                <w:b/>
                <w:color w:val="FFFFFF"/>
                <w:sz w:val="20"/>
              </w:rPr>
              <w:t>Train R²</w:t>
            </w:r>
          </w:p>
        </w:tc>
        <w:tc>
          <w:tcPr>
            <w:tcW w:type="dxa" w:w="1008"/>
            <w:shd w:fill="0284C7"/>
            <w:tcMar>
              <w:top w:w="120" w:type="dxa"/>
              <w:bottom w:w="120" w:type="dxa"/>
              <w:left w:w="150" w:type="dxa"/>
              <w:right w:w="150" w:type="dxa"/>
            </w:tcMar>
          </w:tcPr>
          <w:p>
            <w:pPr>
              <w:jc w:val="left"/>
            </w:pPr>
            <w:r>
              <w:rPr>
                <w:rFonts w:ascii="Calibri" w:hAnsi="Calibri"/>
                <w:b/>
                <w:color w:val="FFFFFF"/>
                <w:sz w:val="20"/>
              </w:rPr>
              <w:t>Test R²</w:t>
            </w:r>
          </w:p>
        </w:tc>
      </w:tr>
      <w:tr>
        <w:tc>
          <w:tcPr>
            <w:tcW w:type="dxa" w:w="3024"/>
            <w:shd w:fill="FFFFFF"/>
            <w:tcMar>
              <w:top w:w="80" w:type="dxa"/>
              <w:bottom w:w="80" w:type="dxa"/>
              <w:left w:w="150" w:type="dxa"/>
              <w:right w:w="150" w:type="dxa"/>
            </w:tcMar>
          </w:tcPr>
          <w:p>
            <w:pPr>
              <w:jc w:val="left"/>
            </w:pPr>
            <w:r>
              <w:rPr>
                <w:rFonts w:ascii="Calibri" w:hAnsi="Calibri"/>
                <w:color w:val="0F172A"/>
                <w:sz w:val="19"/>
              </w:rPr>
              <w:t>Ridge Regression (Baseline)</w:t>
            </w:r>
          </w:p>
        </w:tc>
        <w:tc>
          <w:tcPr>
            <w:tcW w:type="dxa" w:w="1008"/>
            <w:shd w:fill="FFFFFF"/>
            <w:tcMar>
              <w:top w:w="80" w:type="dxa"/>
              <w:bottom w:w="80" w:type="dxa"/>
              <w:left w:w="150" w:type="dxa"/>
              <w:right w:w="150" w:type="dxa"/>
            </w:tcMar>
          </w:tcPr>
          <w:p>
            <w:pPr>
              <w:jc w:val="left"/>
            </w:pPr>
            <w:r>
              <w:rPr>
                <w:rFonts w:ascii="Calibri" w:hAnsi="Calibri"/>
                <w:color w:val="0F172A"/>
                <w:sz w:val="19"/>
              </w:rPr>
              <w:t>36.82 min</w:t>
            </w:r>
          </w:p>
        </w:tc>
        <w:tc>
          <w:tcPr>
            <w:tcW w:type="dxa" w:w="1008"/>
            <w:shd w:fill="FFFFFF"/>
            <w:tcMar>
              <w:top w:w="80" w:type="dxa"/>
              <w:bottom w:w="80" w:type="dxa"/>
              <w:left w:w="150" w:type="dxa"/>
              <w:right w:w="150" w:type="dxa"/>
            </w:tcMar>
          </w:tcPr>
          <w:p>
            <w:pPr>
              <w:jc w:val="left"/>
            </w:pPr>
            <w:r>
              <w:rPr>
                <w:rFonts w:ascii="Calibri" w:hAnsi="Calibri"/>
                <w:color w:val="0F172A"/>
                <w:sz w:val="19"/>
              </w:rPr>
              <w:t>35.02 min</w:t>
            </w:r>
          </w:p>
        </w:tc>
        <w:tc>
          <w:tcPr>
            <w:tcW w:type="dxa" w:w="1008"/>
            <w:shd w:fill="FFFFFF"/>
            <w:tcMar>
              <w:top w:w="80" w:type="dxa"/>
              <w:bottom w:w="80" w:type="dxa"/>
              <w:left w:w="150" w:type="dxa"/>
              <w:right w:w="150" w:type="dxa"/>
            </w:tcMar>
          </w:tcPr>
          <w:p>
            <w:pPr>
              <w:jc w:val="left"/>
            </w:pPr>
            <w:r>
              <w:rPr>
                <w:rFonts w:ascii="Calibri" w:hAnsi="Calibri"/>
                <w:color w:val="0F172A"/>
                <w:sz w:val="19"/>
              </w:rPr>
              <w:t>49.24 min</w:t>
            </w:r>
          </w:p>
        </w:tc>
        <w:tc>
          <w:tcPr>
            <w:tcW w:type="dxa" w:w="1008"/>
            <w:shd w:fill="FFFFFF"/>
            <w:tcMar>
              <w:top w:w="80" w:type="dxa"/>
              <w:bottom w:w="80" w:type="dxa"/>
              <w:left w:w="150" w:type="dxa"/>
              <w:right w:w="150" w:type="dxa"/>
            </w:tcMar>
          </w:tcPr>
          <w:p>
            <w:pPr>
              <w:jc w:val="left"/>
            </w:pPr>
            <w:r>
              <w:rPr>
                <w:rFonts w:ascii="Calibri" w:hAnsi="Calibri"/>
                <w:color w:val="0F172A"/>
                <w:sz w:val="19"/>
              </w:rPr>
              <w:t>47.11 min</w:t>
            </w:r>
          </w:p>
        </w:tc>
        <w:tc>
          <w:tcPr>
            <w:tcW w:type="dxa" w:w="1008"/>
            <w:shd w:fill="FFFFFF"/>
            <w:tcMar>
              <w:top w:w="80" w:type="dxa"/>
              <w:bottom w:w="80" w:type="dxa"/>
              <w:left w:w="150" w:type="dxa"/>
              <w:right w:w="150" w:type="dxa"/>
            </w:tcMar>
          </w:tcPr>
          <w:p>
            <w:pPr>
              <w:jc w:val="left"/>
            </w:pPr>
            <w:r>
              <w:rPr>
                <w:rFonts w:ascii="Calibri" w:hAnsi="Calibri"/>
                <w:color w:val="0F172A"/>
                <w:sz w:val="19"/>
              </w:rPr>
              <w:t>0.4114</w:t>
            </w:r>
          </w:p>
        </w:tc>
        <w:tc>
          <w:tcPr>
            <w:tcW w:type="dxa" w:w="1008"/>
            <w:shd w:fill="FFFFFF"/>
            <w:tcMar>
              <w:top w:w="80" w:type="dxa"/>
              <w:bottom w:w="80" w:type="dxa"/>
              <w:left w:w="150" w:type="dxa"/>
              <w:right w:w="150" w:type="dxa"/>
            </w:tcMar>
          </w:tcPr>
          <w:p>
            <w:pPr>
              <w:jc w:val="left"/>
            </w:pPr>
            <w:r>
              <w:rPr>
                <w:rFonts w:ascii="Calibri" w:hAnsi="Calibri"/>
                <w:color w:val="0F172A"/>
                <w:sz w:val="19"/>
              </w:rPr>
              <w:t>0.3795</w:t>
            </w:r>
          </w:p>
        </w:tc>
      </w:tr>
      <w:tr>
        <w:tc>
          <w:tcPr>
            <w:tcW w:type="dxa" w:w="3024"/>
            <w:shd w:fill="F1F5F9"/>
            <w:tcMar>
              <w:top w:w="80" w:type="dxa"/>
              <w:bottom w:w="80" w:type="dxa"/>
              <w:left w:w="150" w:type="dxa"/>
              <w:right w:w="150" w:type="dxa"/>
            </w:tcMar>
          </w:tcPr>
          <w:p>
            <w:pPr>
              <w:jc w:val="left"/>
            </w:pPr>
            <w:r>
              <w:rPr>
                <w:rFonts w:ascii="Calibri" w:hAnsi="Calibri"/>
                <w:color w:val="0F172A"/>
                <w:sz w:val="19"/>
              </w:rPr>
              <w:t>Random Forest Regressor</w:t>
            </w:r>
          </w:p>
        </w:tc>
        <w:tc>
          <w:tcPr>
            <w:tcW w:type="dxa" w:w="1008"/>
            <w:shd w:fill="F1F5F9"/>
            <w:tcMar>
              <w:top w:w="80" w:type="dxa"/>
              <w:bottom w:w="80" w:type="dxa"/>
              <w:left w:w="150" w:type="dxa"/>
              <w:right w:w="150" w:type="dxa"/>
            </w:tcMar>
          </w:tcPr>
          <w:p>
            <w:pPr>
              <w:jc w:val="left"/>
            </w:pPr>
            <w:r>
              <w:rPr>
                <w:rFonts w:ascii="Calibri" w:hAnsi="Calibri"/>
                <w:color w:val="0F172A"/>
                <w:sz w:val="19"/>
              </w:rPr>
              <w:t>21.16 min</w:t>
            </w:r>
          </w:p>
        </w:tc>
        <w:tc>
          <w:tcPr>
            <w:tcW w:type="dxa" w:w="1008"/>
            <w:shd w:fill="F1F5F9"/>
            <w:tcMar>
              <w:top w:w="80" w:type="dxa"/>
              <w:bottom w:w="80" w:type="dxa"/>
              <w:left w:w="150" w:type="dxa"/>
              <w:right w:w="150" w:type="dxa"/>
            </w:tcMar>
          </w:tcPr>
          <w:p>
            <w:pPr>
              <w:jc w:val="left"/>
            </w:pPr>
            <w:r>
              <w:rPr>
                <w:rFonts w:ascii="Calibri" w:hAnsi="Calibri"/>
                <w:color w:val="0F172A"/>
                <w:sz w:val="19"/>
              </w:rPr>
              <w:t>35.21 min</w:t>
            </w:r>
          </w:p>
        </w:tc>
        <w:tc>
          <w:tcPr>
            <w:tcW w:type="dxa" w:w="1008"/>
            <w:shd w:fill="F1F5F9"/>
            <w:tcMar>
              <w:top w:w="80" w:type="dxa"/>
              <w:bottom w:w="80" w:type="dxa"/>
              <w:left w:w="150" w:type="dxa"/>
              <w:right w:w="150" w:type="dxa"/>
            </w:tcMar>
          </w:tcPr>
          <w:p>
            <w:pPr>
              <w:jc w:val="left"/>
            </w:pPr>
            <w:r>
              <w:rPr>
                <w:rFonts w:ascii="Calibri" w:hAnsi="Calibri"/>
                <w:color w:val="0F172A"/>
                <w:sz w:val="19"/>
              </w:rPr>
              <w:t>28.43 min</w:t>
            </w:r>
          </w:p>
        </w:tc>
        <w:tc>
          <w:tcPr>
            <w:tcW w:type="dxa" w:w="1008"/>
            <w:shd w:fill="F1F5F9"/>
            <w:tcMar>
              <w:top w:w="80" w:type="dxa"/>
              <w:bottom w:w="80" w:type="dxa"/>
              <w:left w:w="150" w:type="dxa"/>
              <w:right w:w="150" w:type="dxa"/>
            </w:tcMar>
          </w:tcPr>
          <w:p>
            <w:pPr>
              <w:jc w:val="left"/>
            </w:pPr>
            <w:r>
              <w:rPr>
                <w:rFonts w:ascii="Calibri" w:hAnsi="Calibri"/>
                <w:color w:val="0F172A"/>
                <w:sz w:val="19"/>
              </w:rPr>
              <w:t>47.25 min</w:t>
            </w:r>
          </w:p>
        </w:tc>
        <w:tc>
          <w:tcPr>
            <w:tcW w:type="dxa" w:w="1008"/>
            <w:shd w:fill="F1F5F9"/>
            <w:tcMar>
              <w:top w:w="80" w:type="dxa"/>
              <w:bottom w:w="80" w:type="dxa"/>
              <w:left w:w="150" w:type="dxa"/>
              <w:right w:w="150" w:type="dxa"/>
            </w:tcMar>
          </w:tcPr>
          <w:p>
            <w:pPr>
              <w:jc w:val="left"/>
            </w:pPr>
            <w:r>
              <w:rPr>
                <w:rFonts w:ascii="Calibri" w:hAnsi="Calibri"/>
                <w:color w:val="0F172A"/>
                <w:sz w:val="19"/>
              </w:rPr>
              <w:t>0.8038</w:t>
            </w:r>
          </w:p>
        </w:tc>
        <w:tc>
          <w:tcPr>
            <w:tcW w:type="dxa" w:w="1008"/>
            <w:shd w:fill="F1F5F9"/>
            <w:tcMar>
              <w:top w:w="80" w:type="dxa"/>
              <w:bottom w:w="80" w:type="dxa"/>
              <w:left w:w="150" w:type="dxa"/>
              <w:right w:w="150" w:type="dxa"/>
            </w:tcMar>
          </w:tcPr>
          <w:p>
            <w:pPr>
              <w:jc w:val="left"/>
            </w:pPr>
            <w:r>
              <w:rPr>
                <w:rFonts w:ascii="Calibri" w:hAnsi="Calibri"/>
                <w:color w:val="0F172A"/>
                <w:sz w:val="19"/>
              </w:rPr>
              <w:t>0.3756</w:t>
            </w:r>
          </w:p>
        </w:tc>
      </w:tr>
      <w:tr>
        <w:tc>
          <w:tcPr>
            <w:tcW w:type="dxa" w:w="3024"/>
            <w:shd w:fill="FFFFFF"/>
            <w:tcMar>
              <w:top w:w="80" w:type="dxa"/>
              <w:bottom w:w="80" w:type="dxa"/>
              <w:left w:w="150" w:type="dxa"/>
              <w:right w:w="150" w:type="dxa"/>
            </w:tcMar>
          </w:tcPr>
          <w:p>
            <w:pPr>
              <w:jc w:val="left"/>
            </w:pPr>
            <w:r>
              <w:rPr>
                <w:rFonts w:ascii="Calibri" w:hAnsi="Calibri"/>
                <w:color w:val="0F172A"/>
                <w:sz w:val="19"/>
              </w:rPr>
              <w:t>Gradient Boosting Regressor (Best)</w:t>
            </w:r>
          </w:p>
        </w:tc>
        <w:tc>
          <w:tcPr>
            <w:tcW w:type="dxa" w:w="1008"/>
            <w:shd w:fill="FFFFFF"/>
            <w:tcMar>
              <w:top w:w="80" w:type="dxa"/>
              <w:bottom w:w="80" w:type="dxa"/>
              <w:left w:w="150" w:type="dxa"/>
              <w:right w:w="150" w:type="dxa"/>
            </w:tcMar>
          </w:tcPr>
          <w:p>
            <w:pPr>
              <w:jc w:val="left"/>
            </w:pPr>
            <w:r>
              <w:rPr>
                <w:rFonts w:ascii="Calibri" w:hAnsi="Calibri"/>
                <w:color w:val="0F172A"/>
                <w:sz w:val="19"/>
              </w:rPr>
              <w:t>29.82 min</w:t>
            </w:r>
          </w:p>
        </w:tc>
        <w:tc>
          <w:tcPr>
            <w:tcW w:type="dxa" w:w="1008"/>
            <w:shd w:fill="FFFFFF"/>
            <w:tcMar>
              <w:top w:w="80" w:type="dxa"/>
              <w:bottom w:w="80" w:type="dxa"/>
              <w:left w:w="150" w:type="dxa"/>
              <w:right w:w="150" w:type="dxa"/>
            </w:tcMar>
          </w:tcPr>
          <w:p>
            <w:pPr>
              <w:jc w:val="left"/>
            </w:pPr>
            <w:r>
              <w:rPr>
                <w:rFonts w:ascii="Calibri" w:hAnsi="Calibri"/>
                <w:color w:val="0F172A"/>
                <w:sz w:val="19"/>
              </w:rPr>
              <w:t>33.74 min</w:t>
            </w:r>
          </w:p>
        </w:tc>
        <w:tc>
          <w:tcPr>
            <w:tcW w:type="dxa" w:w="1008"/>
            <w:shd w:fill="FFFFFF"/>
            <w:tcMar>
              <w:top w:w="80" w:type="dxa"/>
              <w:bottom w:w="80" w:type="dxa"/>
              <w:left w:w="150" w:type="dxa"/>
              <w:right w:w="150" w:type="dxa"/>
            </w:tcMar>
          </w:tcPr>
          <w:p>
            <w:pPr>
              <w:jc w:val="left"/>
            </w:pPr>
            <w:r>
              <w:rPr>
                <w:rFonts w:ascii="Calibri" w:hAnsi="Calibri"/>
                <w:color w:val="0F172A"/>
                <w:sz w:val="19"/>
              </w:rPr>
              <w:t>39.51 min</w:t>
            </w:r>
          </w:p>
        </w:tc>
        <w:tc>
          <w:tcPr>
            <w:tcW w:type="dxa" w:w="1008"/>
            <w:shd w:fill="FFFFFF"/>
            <w:tcMar>
              <w:top w:w="80" w:type="dxa"/>
              <w:bottom w:w="80" w:type="dxa"/>
              <w:left w:w="150" w:type="dxa"/>
              <w:right w:w="150" w:type="dxa"/>
            </w:tcMar>
          </w:tcPr>
          <w:p>
            <w:pPr>
              <w:jc w:val="left"/>
            </w:pPr>
            <w:r>
              <w:rPr>
                <w:rFonts w:ascii="Calibri" w:hAnsi="Calibri"/>
                <w:color w:val="0F172A"/>
                <w:sz w:val="19"/>
              </w:rPr>
              <w:t>45.18 min</w:t>
            </w:r>
          </w:p>
        </w:tc>
        <w:tc>
          <w:tcPr>
            <w:tcW w:type="dxa" w:w="1008"/>
            <w:shd w:fill="FFFFFF"/>
            <w:tcMar>
              <w:top w:w="80" w:type="dxa"/>
              <w:bottom w:w="80" w:type="dxa"/>
              <w:left w:w="150" w:type="dxa"/>
              <w:right w:w="150" w:type="dxa"/>
            </w:tcMar>
          </w:tcPr>
          <w:p>
            <w:pPr>
              <w:jc w:val="left"/>
            </w:pPr>
            <w:r>
              <w:rPr>
                <w:rFonts w:ascii="Calibri" w:hAnsi="Calibri"/>
                <w:color w:val="0F172A"/>
                <w:sz w:val="19"/>
              </w:rPr>
              <w:t>0.6210</w:t>
            </w:r>
          </w:p>
        </w:tc>
        <w:tc>
          <w:tcPr>
            <w:tcW w:type="dxa" w:w="1008"/>
            <w:shd w:fill="FFFFFF"/>
            <w:tcMar>
              <w:top w:w="80" w:type="dxa"/>
              <w:bottom w:w="80" w:type="dxa"/>
              <w:left w:w="150" w:type="dxa"/>
              <w:right w:w="150" w:type="dxa"/>
            </w:tcMar>
          </w:tcPr>
          <w:p>
            <w:pPr>
              <w:jc w:val="left"/>
            </w:pPr>
            <w:r>
              <w:rPr>
                <w:rFonts w:ascii="Calibri" w:hAnsi="Calibri"/>
                <w:color w:val="0F172A"/>
                <w:sz w:val="19"/>
              </w:rPr>
              <w:t>0.4293</w:t>
            </w:r>
          </w:p>
        </w:tc>
      </w:tr>
    </w:tbl>
    <w:p>
      <w:pPr>
        <w:spacing w:before="0" w:after="160" w:line="276" w:lineRule="auto"/>
      </w:pPr>
      <w:r>
        <w:rPr>
          <w:rFonts w:ascii="Calibri" w:hAnsi="Calibri"/>
          <w:b/>
          <w:color w:val="0F172A"/>
          <w:sz w:val="21"/>
        </w:rPr>
        <w:t xml:space="preserve">Empirical Benchmark: </w:t>
      </w:r>
      <w:r>
        <w:rPr>
          <w:rFonts w:ascii="Calibri" w:hAnsi="Calibri"/>
          <w:color w:val="0F172A"/>
          <w:sz w:val="21"/>
        </w:rPr>
        <w:t>Table 5: Machine learning model benchmark comparison on chronological 80/20 train/test split.</w:t>
      </w:r>
    </w:p>
    <w:p>
      <w:pPr>
        <w:pStyle w:val="Heading2"/>
        <w:keepNext/>
        <w:spacing w:before="240" w:after="80"/>
      </w:pPr>
      <w:r>
        <w:rPr>
          <w:rFonts w:ascii="Calibri" w:hAnsi="Calibri"/>
          <w:b/>
          <w:color w:val="0F172A"/>
          <w:sz w:val="26"/>
        </w:rPr>
        <w:t>11.1 Metric Interpretation &amp; Analysis</w:t>
      </w:r>
    </w:p>
    <w:p>
      <w:pPr>
        <w:pStyle w:val="ListBullet"/>
        <w:spacing w:before="20" w:after="60" w:line="276" w:lineRule="auto"/>
      </w:pPr>
      <w:r>
        <w:rPr>
          <w:rFonts w:ascii="Calibri" w:hAnsi="Calibri"/>
          <w:b/>
          <w:color w:val="0F172A"/>
          <w:sz w:val="21"/>
        </w:rPr>
        <w:t xml:space="preserve">Mean Absolute Error (MAE): </w:t>
      </w:r>
      <w:r>
        <w:rPr>
          <w:rFonts w:ascii="Calibri" w:hAnsi="Calibri"/>
          <w:color w:val="0F172A"/>
          <w:sz w:val="21"/>
        </w:rPr>
        <w:t>The Gradient Boosting model (HistGradientBoostingRegressor) achieved the lowest Test MAE of 33.74 minutes on unseen future telemetry. This indicates that the model's waiting-time estimates deviate by approximately half an hour on average across 18 diverse emergency departments.</w:t>
      </w:r>
    </w:p>
    <w:p>
      <w:pPr>
        <w:pStyle w:val="ListBullet"/>
        <w:spacing w:before="20" w:after="60" w:line="276" w:lineRule="auto"/>
      </w:pPr>
      <w:r>
        <w:rPr>
          <w:rFonts w:ascii="Calibri" w:hAnsi="Calibri"/>
          <w:b/>
          <w:color w:val="0F172A"/>
          <w:sz w:val="21"/>
        </w:rPr>
        <w:t xml:space="preserve">Root Mean Squared Error (RMSE): </w:t>
      </w:r>
      <w:r>
        <w:rPr>
          <w:rFonts w:ascii="Calibri" w:hAnsi="Calibri"/>
          <w:color w:val="0F172A"/>
          <w:sz w:val="21"/>
        </w:rPr>
        <w:t>Test RMSE was 45.18 minutes. Because RMSE penalizes large errors quadratically, the difference between MAE and RMSE reflects the occasional acute surge outliers that occur during catastrophic emergency events.</w:t>
      </w:r>
    </w:p>
    <w:p>
      <w:pPr>
        <w:pStyle w:val="ListBullet"/>
        <w:spacing w:before="20" w:after="60" w:line="276" w:lineRule="auto"/>
      </w:pPr>
      <w:r>
        <w:rPr>
          <w:rFonts w:ascii="Calibri" w:hAnsi="Calibri"/>
          <w:b/>
          <w:color w:val="0F172A"/>
          <w:sz w:val="21"/>
        </w:rPr>
        <w:t xml:space="preserve">Coefficient of Determination (R²): </w:t>
      </w:r>
      <w:r>
        <w:rPr>
          <w:rFonts w:ascii="Calibri" w:hAnsi="Calibri"/>
          <w:color w:val="0F172A"/>
          <w:sz w:val="21"/>
        </w:rPr>
        <w:t>Test R² was 0.4293, demonstrating that 42.93% of the variance in waiting times across facilities and hours is explained strictly by arrival-time contextual factors.</w:t>
      </w:r>
    </w:p>
    <w:p>
      <w:pPr>
        <w:pStyle w:val="ListBullet"/>
        <w:spacing w:before="20" w:after="60" w:line="276" w:lineRule="auto"/>
      </w:pPr>
      <w:r>
        <w:rPr>
          <w:rFonts w:ascii="Calibri" w:hAnsi="Calibri"/>
          <w:b/>
          <w:color w:val="0F172A"/>
          <w:sz w:val="21"/>
        </w:rPr>
        <w:t xml:space="preserve">Generalization &amp; Overfitting: </w:t>
      </w:r>
      <w:r>
        <w:rPr>
          <w:rFonts w:ascii="Calibri" w:hAnsi="Calibri"/>
          <w:color w:val="0F172A"/>
          <w:sz w:val="21"/>
        </w:rPr>
        <w:t>While Random Forest achieved a high Train R² of 0.8038, its Test R² dropped to 0.3756, revealing overfitting on historical patterns. Gradient Boosting demonstrated superior regularization and generalized best to forward-looking telemetry.</w:t>
      </w:r>
    </w:p>
    <w:p>
      <w:pPr>
        <w:pStyle w:val="Heading1"/>
        <w:keepNext/>
        <w:spacing w:before="320" w:after="120"/>
      </w:pPr>
      <w:r>
        <w:rPr>
          <w:rFonts w:ascii="Calibri" w:hAnsi="Calibri"/>
          <w:b/>
          <w:color w:val="0284C7"/>
          <w:sz w:val="34"/>
        </w:rPr>
        <w:t>12. Dashboard</w:t>
      </w:r>
    </w:p>
    <w:p>
      <w:pPr>
        <w:spacing w:before="0" w:after="80" w:line="276" w:lineRule="auto"/>
      </w:pPr>
      <w:r>
        <w:rPr>
          <w:rFonts w:ascii="Calibri" w:hAnsi="Calibri"/>
          <w:color w:val="0F172A"/>
          <w:sz w:val="21"/>
        </w:rPr>
        <w:t>The HealthFlow interactive clinical dashboard was developed with Streamlit and styled with a custom healthcare design system. It provides hospital administrators, operational researchers, and clinical charge nurses with seven intuitive modules:</w:t>
      </w:r>
    </w:p>
    <w:p>
      <w:pPr>
        <w:pStyle w:val="ListBullet"/>
        <w:spacing w:before="20" w:after="60" w:line="276" w:lineRule="auto"/>
      </w:pPr>
      <w:r>
        <w:rPr>
          <w:rFonts w:ascii="Calibri" w:hAnsi="Calibri"/>
          <w:b/>
          <w:color w:val="0F172A"/>
          <w:sz w:val="21"/>
        </w:rPr>
        <w:t xml:space="preserve">1. Overview Page: </w:t>
      </w:r>
      <w:r>
        <w:rPr>
          <w:rFonts w:ascii="Calibri" w:hAnsi="Calibri"/>
          <w:color w:val="0F172A"/>
          <w:sz w:val="21"/>
        </w:rPr>
        <w:t>Executive KPI summary cards (Total Records, Mean Wait, Median Wait, Peak Hour, Congested Facility), waiting-time distribution histogram, 24-hour diurnal profile curve, and facility workload ranking bars.</w:t>
      </w:r>
    </w:p>
    <w:p>
      <w:pPr>
        <w:pStyle w:val="ListBullet"/>
        <w:spacing w:before="20" w:after="60" w:line="276" w:lineRule="auto"/>
      </w:pPr>
      <w:r>
        <w:rPr>
          <w:rFonts w:ascii="Calibri" w:hAnsi="Calibri"/>
          <w:b/>
          <w:color w:val="0F172A"/>
          <w:sz w:val="21"/>
        </w:rPr>
        <w:t xml:space="preserve">2. Patient Flow: </w:t>
      </w:r>
      <w:r>
        <w:rPr>
          <w:rFonts w:ascii="Calibri" w:hAnsi="Calibri"/>
          <w:color w:val="0F172A"/>
          <w:sz w:val="21"/>
        </w:rPr>
        <w:t>Longitudinal telemetry volume trends over time, 7-day rolling moving averages, day-of-week load comparisons, and comprehensive department workload metrics tables.</w:t>
      </w:r>
    </w:p>
    <w:p>
      <w:pPr>
        <w:pStyle w:val="ListBullet"/>
        <w:spacing w:before="20" w:after="60" w:line="276" w:lineRule="auto"/>
      </w:pPr>
      <w:r>
        <w:rPr>
          <w:rFonts w:ascii="Calibri" w:hAnsi="Calibri"/>
          <w:b/>
          <w:color w:val="0F172A"/>
          <w:sz w:val="21"/>
        </w:rPr>
        <w:t xml:space="preserve">3. Waiting Time Analytics: </w:t>
      </w:r>
      <w:r>
        <w:rPr>
          <w:rFonts w:ascii="Calibri" w:hAnsi="Calibri"/>
          <w:color w:val="0F172A"/>
          <w:sz w:val="21"/>
        </w:rPr>
        <w:t>In-depth queue dynamics including 10th-to-90th percentile diurnal delay bands, waiting time dispersion boxplots, and interactive Day × Hour congestion heatmaps.</w:t>
      </w:r>
    </w:p>
    <w:p>
      <w:pPr>
        <w:pStyle w:val="ListBullet"/>
        <w:spacing w:before="20" w:after="60" w:line="276" w:lineRule="auto"/>
      </w:pPr>
      <w:r>
        <w:rPr>
          <w:rFonts w:ascii="Calibri" w:hAnsi="Calibri"/>
          <w:b/>
          <w:color w:val="0F172A"/>
          <w:sz w:val="21"/>
        </w:rPr>
        <w:t xml:space="preserve">4. ML Prediction Engine: </w:t>
      </w:r>
      <w:r>
        <w:rPr>
          <w:rFonts w:ascii="Calibri" w:hAnsi="Calibri"/>
          <w:color w:val="0F172A"/>
          <w:sz w:val="21"/>
        </w:rPr>
        <w:t>Interactive scenario calculator allowing users to select hospital facility, arrival hour, day of week, month, and system congestion level, outputting instant predicted waiting times, confidence intervals, and mandatory healthcare disclaimers.</w:t>
      </w:r>
    </w:p>
    <w:p>
      <w:pPr>
        <w:pStyle w:val="ListBullet"/>
        <w:spacing w:before="20" w:after="60" w:line="276" w:lineRule="auto"/>
      </w:pPr>
      <w:r>
        <w:rPr>
          <w:rFonts w:ascii="Calibri" w:hAnsi="Calibri"/>
          <w:b/>
          <w:color w:val="0F172A"/>
          <w:sz w:val="21"/>
        </w:rPr>
        <w:t xml:space="preserve">5. Operational Insights: </w:t>
      </w:r>
      <w:r>
        <w:rPr>
          <w:rFonts w:ascii="Calibri" w:hAnsi="Calibri"/>
          <w:color w:val="0F172A"/>
          <w:sz w:val="21"/>
        </w:rPr>
        <w:t>Four evidence-based operational recommendations derived from actual computations, covering diurnal staffing alignment, facility load re-balancing, mid-week elective scheduling, and queue escalation triggers.</w:t>
      </w:r>
    </w:p>
    <w:p>
      <w:pPr>
        <w:pStyle w:val="ListBullet"/>
        <w:spacing w:before="20" w:after="60" w:line="276" w:lineRule="auto"/>
      </w:pPr>
      <w:r>
        <w:rPr>
          <w:rFonts w:ascii="Calibri" w:hAnsi="Calibri"/>
          <w:b/>
          <w:color w:val="0F172A"/>
          <w:sz w:val="21"/>
        </w:rPr>
        <w:t xml:space="preserve">6. Data Explorer: </w:t>
      </w:r>
      <w:r>
        <w:rPr>
          <w:rFonts w:ascii="Calibri" w:hAnsi="Calibri"/>
          <w:color w:val="0F172A"/>
          <w:sz w:val="21"/>
        </w:rPr>
        <w:t>Searchable, sortable, and filterable telemetry table with dynamic facility and date filters and instant CSV export capability.</w:t>
      </w:r>
    </w:p>
    <w:p>
      <w:pPr>
        <w:pStyle w:val="ListBullet"/>
        <w:spacing w:before="20" w:after="60" w:line="276" w:lineRule="auto"/>
      </w:pPr>
      <w:r>
        <w:rPr>
          <w:rFonts w:ascii="Calibri" w:hAnsi="Calibri"/>
          <w:b/>
          <w:color w:val="0F172A"/>
          <w:sz w:val="21"/>
        </w:rPr>
        <w:t xml:space="preserve">7. Model Transparency: </w:t>
      </w:r>
      <w:r>
        <w:rPr>
          <w:rFonts w:ascii="Calibri" w:hAnsi="Calibri"/>
          <w:color w:val="0F172A"/>
          <w:sz w:val="21"/>
        </w:rPr>
        <w:t>Full model governance documentation, candidate benchmark comparison tables, feature importance rankings, and data leakage safeguards.</w:t>
      </w:r>
    </w:p>
    <w:p>
      <w:pPr>
        <w:pStyle w:val="Heading2"/>
        <w:keepNext/>
        <w:spacing w:before="240" w:after="80"/>
      </w:pPr>
      <w:r>
        <w:rPr>
          <w:rFonts w:ascii="Calibri" w:hAnsi="Calibri"/>
          <w:b/>
          <w:color w:val="0F172A"/>
          <w:sz w:val="26"/>
        </w:rPr>
        <w:t>12.1 Dashboard Interface Walkthrough</w:t>
      </w:r>
    </w:p>
    <w:p>
      <w:pPr>
        <w:spacing w:before="200" w:after="80"/>
        <w:jc w:val="center"/>
      </w:pPr>
      <w:r>
        <w:drawing>
          <wp:inline xmlns:a="http://schemas.openxmlformats.org/drawingml/2006/main" xmlns:pic="http://schemas.openxmlformats.org/drawingml/2006/picture">
            <wp:extent cx="5303520" cy="2516410"/>
            <wp:docPr id="1" name="Picture 1"/>
            <wp:cNvGraphicFramePr>
              <a:graphicFrameLocks noChangeAspect="1"/>
            </wp:cNvGraphicFramePr>
            <a:graphic>
              <a:graphicData uri="http://schemas.openxmlformats.org/drawingml/2006/picture">
                <pic:pic>
                  <pic:nvPicPr>
                    <pic:cNvPr id="0" name="overview_page_loaded_1789673360656.png"/>
                    <pic:cNvPicPr/>
                  </pic:nvPicPr>
                  <pic:blipFill>
                    <a:blip r:embed="rId10"/>
                    <a:stretch>
                      <a:fillRect/>
                    </a:stretch>
                  </pic:blipFill>
                  <pic:spPr>
                    <a:xfrm>
                      <a:off x="0" y="0"/>
                      <a:ext cx="5303520" cy="2516410"/>
                    </a:xfrm>
                    <a:prstGeom prst="rect"/>
                  </pic:spPr>
                </pic:pic>
              </a:graphicData>
            </a:graphic>
          </wp:inline>
        </w:drawing>
      </w:r>
    </w:p>
    <w:p>
      <w:pPr>
        <w:spacing w:before="0" w:after="240"/>
        <w:jc w:val="center"/>
      </w:pPr>
      <w:r>
        <w:rPr>
          <w:rFonts w:ascii="Calibri" w:hAnsi="Calibri"/>
          <w:i/>
          <w:color w:val="475569"/>
          <w:sz w:val="19"/>
        </w:rPr>
        <w:t>Figure 1: HealthFlow Dashboard Overview — Executive KPI Cards and System-Wide Monitoring.</w:t>
      </w:r>
    </w:p>
    <w:p>
      <w:pPr>
        <w:spacing w:before="200" w:after="80"/>
        <w:jc w:val="center"/>
      </w:pPr>
      <w:r>
        <w:drawing>
          <wp:inline xmlns:a="http://schemas.openxmlformats.org/drawingml/2006/main" xmlns:pic="http://schemas.openxmlformats.org/drawingml/2006/picture">
            <wp:extent cx="5303520" cy="2516410"/>
            <wp:docPr id="2" name="Picture 2"/>
            <wp:cNvGraphicFramePr>
              <a:graphicFrameLocks noChangeAspect="1"/>
            </wp:cNvGraphicFramePr>
            <a:graphic>
              <a:graphicData uri="http://schemas.openxmlformats.org/drawingml/2006/picture">
                <pic:pic>
                  <pic:nvPicPr>
                    <pic:cNvPr id="0" name="patient_flow_page_1789673379415.png"/>
                    <pic:cNvPicPr/>
                  </pic:nvPicPr>
                  <pic:blipFill>
                    <a:blip r:embed="rId11"/>
                    <a:stretch>
                      <a:fillRect/>
                    </a:stretch>
                  </pic:blipFill>
                  <pic:spPr>
                    <a:xfrm>
                      <a:off x="0" y="0"/>
                      <a:ext cx="5303520" cy="2516410"/>
                    </a:xfrm>
                    <a:prstGeom prst="rect"/>
                  </pic:spPr>
                </pic:pic>
              </a:graphicData>
            </a:graphic>
          </wp:inline>
        </w:drawing>
      </w:r>
    </w:p>
    <w:p>
      <w:pPr>
        <w:spacing w:before="0" w:after="240"/>
        <w:jc w:val="center"/>
      </w:pPr>
      <w:r>
        <w:rPr>
          <w:rFonts w:ascii="Calibri" w:hAnsi="Calibri"/>
          <w:i/>
          <w:color w:val="475569"/>
          <w:sz w:val="19"/>
        </w:rPr>
        <w:t>Figure 2: Patient Flow Module — Longitudinal Volume Trends and Department Workload Breakdown.</w:t>
      </w:r>
    </w:p>
    <w:p>
      <w:pPr>
        <w:spacing w:before="200" w:after="80"/>
        <w:jc w:val="center"/>
      </w:pPr>
      <w:r>
        <w:drawing>
          <wp:inline xmlns:a="http://schemas.openxmlformats.org/drawingml/2006/main" xmlns:pic="http://schemas.openxmlformats.org/drawingml/2006/picture">
            <wp:extent cx="5303520" cy="2516410"/>
            <wp:docPr id="3" name="Picture 3"/>
            <wp:cNvGraphicFramePr>
              <a:graphicFrameLocks noChangeAspect="1"/>
            </wp:cNvGraphicFramePr>
            <a:graphic>
              <a:graphicData uri="http://schemas.openxmlformats.org/drawingml/2006/picture">
                <pic:pic>
                  <pic:nvPicPr>
                    <pic:cNvPr id="0" name="ml_prediction_page_1789673428702.png"/>
                    <pic:cNvPicPr/>
                  </pic:nvPicPr>
                  <pic:blipFill>
                    <a:blip r:embed="rId12"/>
                    <a:stretch>
                      <a:fillRect/>
                    </a:stretch>
                  </pic:blipFill>
                  <pic:spPr>
                    <a:xfrm>
                      <a:off x="0" y="0"/>
                      <a:ext cx="5303520" cy="2516410"/>
                    </a:xfrm>
                    <a:prstGeom prst="rect"/>
                  </pic:spPr>
                </pic:pic>
              </a:graphicData>
            </a:graphic>
          </wp:inline>
        </w:drawing>
      </w:r>
    </w:p>
    <w:p>
      <w:pPr>
        <w:spacing w:before="0" w:after="240"/>
        <w:jc w:val="center"/>
      </w:pPr>
      <w:r>
        <w:rPr>
          <w:rFonts w:ascii="Calibri" w:hAnsi="Calibri"/>
          <w:i/>
          <w:color w:val="475569"/>
          <w:sz w:val="19"/>
        </w:rPr>
        <w:t>Figure 3: ML Waiting-Time Prediction Interface — Scenario Simulation with Confidence Intervals.</w:t>
      </w:r>
    </w:p>
    <w:p>
      <w:pPr>
        <w:spacing w:before="200" w:after="80"/>
        <w:jc w:val="center"/>
      </w:pPr>
      <w:r>
        <w:drawing>
          <wp:inline xmlns:a="http://schemas.openxmlformats.org/drawingml/2006/main" xmlns:pic="http://schemas.openxmlformats.org/drawingml/2006/picture">
            <wp:extent cx="5303520" cy="2516410"/>
            <wp:docPr id="4" name="Picture 4"/>
            <wp:cNvGraphicFramePr>
              <a:graphicFrameLocks noChangeAspect="1"/>
            </wp:cNvGraphicFramePr>
            <a:graphic>
              <a:graphicData uri="http://schemas.openxmlformats.org/drawingml/2006/picture">
                <pic:pic>
                  <pic:nvPicPr>
                    <pic:cNvPr id="0" name="insights_page_1789673443664.png"/>
                    <pic:cNvPicPr/>
                  </pic:nvPicPr>
                  <pic:blipFill>
                    <a:blip r:embed="rId13"/>
                    <a:stretch>
                      <a:fillRect/>
                    </a:stretch>
                  </pic:blipFill>
                  <pic:spPr>
                    <a:xfrm>
                      <a:off x="0" y="0"/>
                      <a:ext cx="5303520" cy="2516410"/>
                    </a:xfrm>
                    <a:prstGeom prst="rect"/>
                  </pic:spPr>
                </pic:pic>
              </a:graphicData>
            </a:graphic>
          </wp:inline>
        </w:drawing>
      </w:r>
    </w:p>
    <w:p>
      <w:pPr>
        <w:spacing w:before="0" w:after="240"/>
        <w:jc w:val="center"/>
      </w:pPr>
      <w:r>
        <w:rPr>
          <w:rFonts w:ascii="Calibri" w:hAnsi="Calibri"/>
          <w:i/>
          <w:color w:val="475569"/>
          <w:sz w:val="19"/>
        </w:rPr>
        <w:t>Figure 4: Operational Healthcare Insights Module — Evidence-Based Findings and Staffing Strategies.</w:t>
      </w:r>
    </w:p>
    <w:p>
      <w:pPr>
        <w:spacing w:before="200" w:after="80"/>
        <w:jc w:val="center"/>
      </w:pPr>
      <w:r>
        <w:drawing>
          <wp:inline xmlns:a="http://schemas.openxmlformats.org/drawingml/2006/main" xmlns:pic="http://schemas.openxmlformats.org/drawingml/2006/picture">
            <wp:extent cx="5303520" cy="2516410"/>
            <wp:docPr id="5" name="Picture 5"/>
            <wp:cNvGraphicFramePr>
              <a:graphicFrameLocks noChangeAspect="1"/>
            </wp:cNvGraphicFramePr>
            <a:graphic>
              <a:graphicData uri="http://schemas.openxmlformats.org/drawingml/2006/picture">
                <pic:pic>
                  <pic:nvPicPr>
                    <pic:cNvPr id="0" name="data_explorer_page_1789673467754.png"/>
                    <pic:cNvPicPr/>
                  </pic:nvPicPr>
                  <pic:blipFill>
                    <a:blip r:embed="rId14"/>
                    <a:stretch>
                      <a:fillRect/>
                    </a:stretch>
                  </pic:blipFill>
                  <pic:spPr>
                    <a:xfrm>
                      <a:off x="0" y="0"/>
                      <a:ext cx="5303520" cy="2516410"/>
                    </a:xfrm>
                    <a:prstGeom prst="rect"/>
                  </pic:spPr>
                </pic:pic>
              </a:graphicData>
            </a:graphic>
          </wp:inline>
        </w:drawing>
      </w:r>
    </w:p>
    <w:p>
      <w:pPr>
        <w:spacing w:before="0" w:after="240"/>
        <w:jc w:val="center"/>
      </w:pPr>
      <w:r>
        <w:rPr>
          <w:rFonts w:ascii="Calibri" w:hAnsi="Calibri"/>
          <w:i/>
          <w:color w:val="475569"/>
          <w:sz w:val="19"/>
        </w:rPr>
        <w:t>Figure 5: Data Explorer Module — Interactive Telemetry Table with Dynamic Filters and CSV Export.</w:t>
      </w:r>
    </w:p>
    <w:p>
      <w:pPr>
        <w:spacing w:before="200" w:after="80"/>
        <w:jc w:val="center"/>
      </w:pPr>
      <w:r>
        <w:drawing>
          <wp:inline xmlns:a="http://schemas.openxmlformats.org/drawingml/2006/main" xmlns:pic="http://schemas.openxmlformats.org/drawingml/2006/picture">
            <wp:extent cx="5303520" cy="2516410"/>
            <wp:docPr id="6" name="Picture 6"/>
            <wp:cNvGraphicFramePr>
              <a:graphicFrameLocks noChangeAspect="1"/>
            </wp:cNvGraphicFramePr>
            <a:graphic>
              <a:graphicData uri="http://schemas.openxmlformats.org/drawingml/2006/picture">
                <pic:pic>
                  <pic:nvPicPr>
                    <pic:cNvPr id="0" name="model_info_page_1789673484379.png"/>
                    <pic:cNvPicPr/>
                  </pic:nvPicPr>
                  <pic:blipFill>
                    <a:blip r:embed="rId15"/>
                    <a:stretch>
                      <a:fillRect/>
                    </a:stretch>
                  </pic:blipFill>
                  <pic:spPr>
                    <a:xfrm>
                      <a:off x="0" y="0"/>
                      <a:ext cx="5303520" cy="2516410"/>
                    </a:xfrm>
                    <a:prstGeom prst="rect"/>
                  </pic:spPr>
                </pic:pic>
              </a:graphicData>
            </a:graphic>
          </wp:inline>
        </w:drawing>
      </w:r>
    </w:p>
    <w:p>
      <w:pPr>
        <w:spacing w:before="0" w:after="240"/>
        <w:jc w:val="center"/>
      </w:pPr>
      <w:r>
        <w:rPr>
          <w:rFonts w:ascii="Calibri" w:hAnsi="Calibri"/>
          <w:i/>
          <w:color w:val="475569"/>
          <w:sz w:val="19"/>
        </w:rPr>
        <w:t>Figure 6: Model Information &amp; Transparency — Architecture Specifications and Feature Importances.</w:t>
      </w:r>
    </w:p>
    <w:p>
      <w:pPr>
        <w:pStyle w:val="Heading1"/>
        <w:keepNext/>
        <w:spacing w:before="320" w:after="120"/>
      </w:pPr>
      <w:r>
        <w:rPr>
          <w:rFonts w:ascii="Calibri" w:hAnsi="Calibri"/>
          <w:b/>
          <w:color w:val="0284C7"/>
          <w:sz w:val="34"/>
        </w:rPr>
        <w:t>13. Key Insights</w:t>
      </w:r>
    </w:p>
    <w:p>
      <w:pPr>
        <w:spacing w:before="0" w:after="80" w:line="276" w:lineRule="auto"/>
      </w:pPr>
      <w:r>
        <w:rPr>
          <w:rFonts w:ascii="Calibri" w:hAnsi="Calibri"/>
          <w:color w:val="0F172A"/>
          <w:sz w:val="21"/>
        </w:rPr>
        <w:t>All insights cited below are directly supported by statistical calculations on the 59,663 operational records:</w:t>
      </w:r>
    </w:p>
    <w:p>
      <w:pPr>
        <w:pStyle w:val="ListBullet"/>
        <w:spacing w:before="20" w:after="60" w:line="276" w:lineRule="auto"/>
      </w:pPr>
      <w:r>
        <w:rPr>
          <w:rFonts w:ascii="Calibri" w:hAnsi="Calibri"/>
          <w:b/>
          <w:color w:val="0F172A"/>
          <w:sz w:val="21"/>
        </w:rPr>
        <w:t xml:space="preserve">1. Diurnal Congestion Surge: </w:t>
      </w:r>
      <w:r>
        <w:rPr>
          <w:rFonts w:ascii="Calibri" w:hAnsi="Calibri"/>
          <w:color w:val="0F172A"/>
          <w:sz w:val="21"/>
        </w:rPr>
        <w:t>The analysis shows a pronounced 24-hour diurnal cycle across the emergency network. Average waiting times escalate from early morning (05:00–07:00 at ~52 minutes) to a sharp peak during the late afternoon and evening (17:00–19:00 at ~118 minutes), representing a 127% increase in queue delays. Recommendation: Emergency clinical staffing (triage nurses, acute evaluation physicians) should be scheduled in staggered overlapping shifts concentrated between 12:00 and 22:00, rather than traditional equal 8-hour shift distributions.</w:t>
      </w:r>
    </w:p>
    <w:p>
      <w:pPr>
        <w:pStyle w:val="ListBullet"/>
        <w:spacing w:before="20" w:after="60" w:line="276" w:lineRule="auto"/>
      </w:pPr>
      <w:r>
        <w:rPr>
          <w:rFonts w:ascii="Calibri" w:hAnsi="Calibri"/>
          <w:b/>
          <w:color w:val="0F172A"/>
          <w:sz w:val="21"/>
        </w:rPr>
        <w:t xml:space="preserve">2. Facility Tier Workload Disparity: </w:t>
      </w:r>
      <w:r>
        <w:rPr>
          <w:rFonts w:ascii="Calibri" w:hAnsi="Calibri"/>
          <w:color w:val="0F172A"/>
          <w:sz w:val="21"/>
        </w:rPr>
        <w:t>The dataset indicates substantial structural variance across operational tiers. Level 1 trauma and academic tertiary centres (Foothills Medical Centre, University of Alberta Hospital, Royal Alexandra Hospital) experience average waiting times exceeding 115–125 minutes, whereas community ambulatory clinics average under 50–60 minutes. Recommendation: Health authorities should deploy regional patient navigation tools that direct non-emergent ambulatory patients (CTAS 4–5) to nearby community clinics, reducing tertiary trauma center crowding.</w:t>
      </w:r>
    </w:p>
    <w:p>
      <w:pPr>
        <w:pStyle w:val="ListBullet"/>
        <w:spacing w:before="20" w:after="60" w:line="276" w:lineRule="auto"/>
      </w:pPr>
      <w:r>
        <w:rPr>
          <w:rFonts w:ascii="Calibri" w:hAnsi="Calibri"/>
          <w:b/>
          <w:color w:val="0F172A"/>
          <w:sz w:val="21"/>
        </w:rPr>
        <w:t xml:space="preserve">3. Weekday vs Weekend Dynamics: </w:t>
      </w:r>
      <w:r>
        <w:rPr>
          <w:rFonts w:ascii="Calibri" w:hAnsi="Calibri"/>
          <w:color w:val="0F172A"/>
          <w:sz w:val="21"/>
        </w:rPr>
        <w:t>The analysis reveals systematic day-of-week patterns: weekday waiting times average 96.1 minutes compared to 90.2 minutes on weekends. Mid-week surges (Tuesdays and Wednesdays) reflect secondary outpatient referrals and clinic delays accumulating after primary care closures. Recommendation: Schedule non-urgent specialist consultations and elective diagnostics away from peak weekday surge days to prevent hospital bed boarding.</w:t>
      </w:r>
    </w:p>
    <w:p>
      <w:pPr>
        <w:pStyle w:val="ListBullet"/>
        <w:spacing w:before="20" w:after="60" w:line="276" w:lineRule="auto"/>
      </w:pPr>
      <w:r>
        <w:rPr>
          <w:rFonts w:ascii="Calibri" w:hAnsi="Calibri"/>
          <w:b/>
          <w:color w:val="0F172A"/>
          <w:sz w:val="21"/>
        </w:rPr>
        <w:t xml:space="preserve">4. Queue Tail Risk (90th Percentile Delay): </w:t>
      </w:r>
      <w:r>
        <w:rPr>
          <w:rFonts w:ascii="Calibri" w:hAnsi="Calibri"/>
          <w:color w:val="0F172A"/>
          <w:sz w:val="21"/>
        </w:rPr>
        <w:t>While the system-wide median wait time is 79.0 minutes, the 90th percentile wait time reaches 183.0 minutes, with congested facilities exceeding 240 minutes (4 hours) during peak periods. Recommendation: Implement automated operational escalation thresholds when waiting times exceed 150 minutes, triggering rapid medical evaluation (RME) pods and fast-track discharge protocols.</w:t>
      </w:r>
    </w:p>
    <w:p>
      <w:pPr>
        <w:pStyle w:val="Heading1"/>
        <w:keepNext/>
        <w:spacing w:before="320" w:after="120"/>
      </w:pPr>
      <w:r>
        <w:rPr>
          <w:rFonts w:ascii="Calibri" w:hAnsi="Calibri"/>
          <w:b/>
          <w:color w:val="0284C7"/>
          <w:sz w:val="34"/>
        </w:rPr>
        <w:t>14. Limitations</w:t>
      </w:r>
    </w:p>
    <w:p>
      <w:pPr>
        <w:spacing w:before="0" w:after="80" w:line="276" w:lineRule="auto"/>
      </w:pPr>
      <w:r>
        <w:rPr>
          <w:rFonts w:ascii="Calibri" w:hAnsi="Calibri"/>
          <w:color w:val="0F172A"/>
          <w:sz w:val="21"/>
        </w:rPr>
        <w:t>To maintain academic rigor and ethical governance, the following project limitations are explicitly acknowledged:</w:t>
      </w:r>
    </w:p>
    <w:p>
      <w:pPr>
        <w:pStyle w:val="ListBullet"/>
        <w:spacing w:before="20" w:after="60" w:line="276" w:lineRule="auto"/>
      </w:pPr>
      <w:r>
        <w:rPr>
          <w:rFonts w:ascii="Calibri" w:hAnsi="Calibri"/>
          <w:b/>
          <w:color w:val="0F172A"/>
          <w:sz w:val="21"/>
        </w:rPr>
        <w:t xml:space="preserve">Triage Acuity Priority: </w:t>
      </w:r>
      <w:r>
        <w:rPr>
          <w:rFonts w:ascii="Calibri" w:hAnsi="Calibri"/>
          <w:color w:val="0F172A"/>
          <w:sz w:val="21"/>
        </w:rPr>
        <w:t>The telemetry represents public sector estimated waiting times for mid-acuity patients (CTAS 3–4). Patients presenting with immediately life-threatening conditions (resuscitation CTAS 1: cardiac arrest, major trauma) bypass waiting queues entirely and are treated immediately upon arrival.</w:t>
      </w:r>
    </w:p>
    <w:p>
      <w:pPr>
        <w:pStyle w:val="ListBullet"/>
        <w:spacing w:before="20" w:after="60" w:line="276" w:lineRule="auto"/>
      </w:pPr>
      <w:r>
        <w:rPr>
          <w:rFonts w:ascii="Calibri" w:hAnsi="Calibri"/>
          <w:b/>
          <w:color w:val="0F172A"/>
          <w:sz w:val="21"/>
        </w:rPr>
        <w:t xml:space="preserve">Temporal Window: </w:t>
      </w:r>
      <w:r>
        <w:rPr>
          <w:rFonts w:ascii="Calibri" w:hAnsi="Calibri"/>
          <w:color w:val="0F172A"/>
          <w:sz w:val="21"/>
        </w:rPr>
        <w:t>The dataset reflects continuous logging from August to October 2018. While sufficient for diurnal and weekly modeling, multi-year seasonal extremes (e.g. winter influenza spikes) are not represented.</w:t>
      </w:r>
    </w:p>
    <w:p>
      <w:pPr>
        <w:pStyle w:val="ListBullet"/>
        <w:spacing w:before="20" w:after="60" w:line="276" w:lineRule="auto"/>
      </w:pPr>
      <w:r>
        <w:rPr>
          <w:rFonts w:ascii="Calibri" w:hAnsi="Calibri"/>
          <w:b/>
          <w:color w:val="0F172A"/>
          <w:sz w:val="21"/>
        </w:rPr>
        <w:t xml:space="preserve">Regional Context: </w:t>
      </w:r>
      <w:r>
        <w:rPr>
          <w:rFonts w:ascii="Calibri" w:hAnsi="Calibri"/>
          <w:color w:val="0F172A"/>
          <w:sz w:val="21"/>
        </w:rPr>
        <w:t>The data reflects Canadian publicly funded emergency care in Alberta. Healthcare delivery models with fee-for-service structures or differing triage frameworks require local recalibration.</w:t>
      </w:r>
    </w:p>
    <w:p>
      <w:pPr>
        <w:pStyle w:val="ListBullet"/>
        <w:spacing w:before="20" w:after="60" w:line="276" w:lineRule="auto"/>
      </w:pPr>
      <w:r>
        <w:rPr>
          <w:rFonts w:ascii="Calibri" w:hAnsi="Calibri"/>
          <w:b/>
          <w:color w:val="0F172A"/>
          <w:sz w:val="21"/>
        </w:rPr>
        <w:t xml:space="preserve">Stochastic Variation: </w:t>
      </w:r>
      <w:r>
        <w:rPr>
          <w:rFonts w:ascii="Calibri" w:hAnsi="Calibri"/>
          <w:color w:val="0F172A"/>
          <w:sz w:val="21"/>
        </w:rPr>
        <w:t>The Gradient Boosting model achieves a Test MAE of 33.74 minutes. Emergency room operations inherently involve stochastic clinical events (e.g., sudden multi-casualty incidents) that introduce unmodeled variance.</w:t>
      </w:r>
    </w:p>
    <w:p>
      <w:pPr>
        <w:pStyle w:val="ListBullet"/>
        <w:spacing w:before="20" w:after="60" w:line="276" w:lineRule="auto"/>
      </w:pPr>
      <w:r>
        <w:rPr>
          <w:rFonts w:ascii="Calibri" w:hAnsi="Calibri"/>
          <w:b/>
          <w:color w:val="0F172A"/>
          <w:sz w:val="21"/>
        </w:rPr>
        <w:t xml:space="preserve">Non-Clinical Role: </w:t>
      </w:r>
      <w:r>
        <w:rPr>
          <w:rFonts w:ascii="Calibri" w:hAnsi="Calibri"/>
          <w:color w:val="0F172A"/>
          <w:sz w:val="21"/>
        </w:rPr>
        <w:t>HealthFlow is an operational decision-support tool. It does not provide medical diagnosis, clinical advice, or treatment recommendations.</w:t>
      </w:r>
    </w:p>
    <w:p>
      <w:pPr>
        <w:pStyle w:val="Heading1"/>
        <w:keepNext/>
        <w:spacing w:before="320" w:after="120"/>
      </w:pPr>
      <w:r>
        <w:rPr>
          <w:rFonts w:ascii="Calibri" w:hAnsi="Calibri"/>
          <w:b/>
          <w:color w:val="0284C7"/>
          <w:sz w:val="34"/>
        </w:rPr>
        <w:t>15. Future Scope</w:t>
      </w:r>
    </w:p>
    <w:p>
      <w:pPr>
        <w:spacing w:before="0" w:after="80" w:line="276" w:lineRule="auto"/>
      </w:pPr>
      <w:r>
        <w:rPr>
          <w:rFonts w:ascii="Calibri" w:hAnsi="Calibri"/>
          <w:color w:val="0F172A"/>
          <w:sz w:val="21"/>
        </w:rPr>
        <w:t>Prospective enhancements to build upon the HealthFlow platform include:</w:t>
      </w:r>
    </w:p>
    <w:p>
      <w:pPr>
        <w:pStyle w:val="ListBullet"/>
        <w:spacing w:before="20" w:after="60" w:line="276" w:lineRule="auto"/>
      </w:pPr>
      <w:r>
        <w:rPr>
          <w:rFonts w:ascii="Calibri" w:hAnsi="Calibri"/>
          <w:b/>
          <w:color w:val="0F172A"/>
          <w:sz w:val="21"/>
        </w:rPr>
        <w:t xml:space="preserve">1. Real-Time EHR/EMR Ingestion: </w:t>
      </w:r>
      <w:r>
        <w:rPr>
          <w:rFonts w:ascii="Calibri" w:hAnsi="Calibri"/>
          <w:color w:val="0F172A"/>
          <w:sz w:val="21"/>
        </w:rPr>
        <w:t>Integrating live Fast Healthcare Interoperability Resources (FHIR) API connectors for electronic medical record (EMR) telemetry streaming.</w:t>
      </w:r>
    </w:p>
    <w:p>
      <w:pPr>
        <w:pStyle w:val="ListBullet"/>
        <w:spacing w:before="20" w:after="60" w:line="276" w:lineRule="auto"/>
      </w:pPr>
      <w:r>
        <w:rPr>
          <w:rFonts w:ascii="Calibri" w:hAnsi="Calibri"/>
          <w:b/>
          <w:color w:val="0F172A"/>
          <w:sz w:val="21"/>
        </w:rPr>
        <w:t xml:space="preserve">2. Weather Telemetry Fusion: </w:t>
      </w:r>
      <w:r>
        <w:rPr>
          <w:rFonts w:ascii="Calibri" w:hAnsi="Calibri"/>
          <w:color w:val="0F172A"/>
          <w:sz w:val="21"/>
        </w:rPr>
        <w:t>Incorporating historical meteorology data (ambient temperature, blizzard warnings, freezing rain) to assess environmental impacts on trauma and orthopedic visits.</w:t>
      </w:r>
    </w:p>
    <w:p>
      <w:pPr>
        <w:pStyle w:val="ListBullet"/>
        <w:spacing w:before="20" w:after="60" w:line="276" w:lineRule="auto"/>
      </w:pPr>
      <w:r>
        <w:rPr>
          <w:rFonts w:ascii="Calibri" w:hAnsi="Calibri"/>
          <w:b/>
          <w:color w:val="0F172A"/>
          <w:sz w:val="21"/>
        </w:rPr>
        <w:t xml:space="preserve">3. Discrete Event Simulation: </w:t>
      </w:r>
      <w:r>
        <w:rPr>
          <w:rFonts w:ascii="Calibri" w:hAnsi="Calibri"/>
          <w:color w:val="0F172A"/>
          <w:sz w:val="21"/>
        </w:rPr>
        <w:t>Developing discrete-event queue models (SimPy) to simulate inpatient bed occupancy, doctor consultation service times, and ambulance offload delays.</w:t>
      </w:r>
    </w:p>
    <w:p>
      <w:pPr>
        <w:pStyle w:val="ListBullet"/>
        <w:spacing w:before="20" w:after="60" w:line="276" w:lineRule="auto"/>
      </w:pPr>
      <w:r>
        <w:rPr>
          <w:rFonts w:ascii="Calibri" w:hAnsi="Calibri"/>
          <w:b/>
          <w:color w:val="0F172A"/>
          <w:sz w:val="21"/>
        </w:rPr>
        <w:t xml:space="preserve">4. Enterprise API Deployment: </w:t>
      </w:r>
      <w:r>
        <w:rPr>
          <w:rFonts w:ascii="Calibri" w:hAnsi="Calibri"/>
          <w:color w:val="0F172A"/>
          <w:sz w:val="21"/>
        </w:rPr>
        <w:t>Building RESTful microservice prediction endpoints with FastAPI and deploying containerized applications via Docker and Kubernetes.</w:t>
      </w:r>
    </w:p>
    <w:p>
      <w:pPr>
        <w:pStyle w:val="ListBullet"/>
        <w:spacing w:before="20" w:after="60" w:line="276" w:lineRule="auto"/>
      </w:pPr>
      <w:r>
        <w:rPr>
          <w:rFonts w:ascii="Calibri" w:hAnsi="Calibri"/>
          <w:b/>
          <w:color w:val="0F172A"/>
          <w:sz w:val="21"/>
        </w:rPr>
        <w:t xml:space="preserve">5. Continuous Model Retraining: </w:t>
      </w:r>
      <w:r>
        <w:rPr>
          <w:rFonts w:ascii="Calibri" w:hAnsi="Calibri"/>
          <w:color w:val="0F172A"/>
          <w:sz w:val="21"/>
        </w:rPr>
        <w:t>Establishing automated drift detection and scheduled model retraining pipelines to adapt to shifting hospital utilization trends.</w:t>
      </w:r>
    </w:p>
    <w:p>
      <w:pPr>
        <w:pStyle w:val="Heading1"/>
        <w:keepNext/>
        <w:spacing w:before="320" w:after="120"/>
      </w:pPr>
      <w:r>
        <w:rPr>
          <w:rFonts w:ascii="Calibri" w:hAnsi="Calibri"/>
          <w:b/>
          <w:color w:val="0284C7"/>
          <w:sz w:val="34"/>
        </w:rPr>
        <w:t>16. Conclusion</w:t>
      </w:r>
    </w:p>
    <w:p>
      <w:pPr>
        <w:spacing w:before="0" w:after="80" w:line="276" w:lineRule="auto"/>
      </w:pPr>
      <w:r>
        <w:rPr>
          <w:rFonts w:ascii="Calibri" w:hAnsi="Calibri"/>
          <w:color w:val="0F172A"/>
          <w:sz w:val="21"/>
        </w:rPr>
        <w:t>The HealthFlow project demonstrates that public hospital patient-flow telemetry can be transformed into actionable clinical intelligence through disciplined data engineering, statistical analysis, and machine learning. By auditing and cleaning 66,197 operational records from 18 hospitals across Alberta, the study quantified 24-hour diurnal surge patterns, documented dramatic workload disparities between academic trauma centers and community clinics, and benchmarked three predictive regression models under strict chronological holdout conditions.</w:t>
      </w:r>
    </w:p>
    <w:p>
      <w:pPr>
        <w:spacing w:before="0" w:after="80" w:line="276" w:lineRule="auto"/>
      </w:pPr>
      <w:r>
        <w:rPr>
          <w:rFonts w:ascii="Calibri" w:hAnsi="Calibri"/>
          <w:color w:val="0F172A"/>
          <w:sz w:val="21"/>
        </w:rPr>
        <w:t>The HistGradientBoostingRegressor proved superior in generalization, delivering a Test MAE of 33.74 minutes and an R² of 0.4293 on forward-looking telemetry. Integrated into a multi-page interactive Streamlit dashboard, HealthFlow provides hospital leaders, nurse managers, and health authorities with an empirical platform to anticipate waiting-time surges, balance regional patient loads, and optimize clinical workforce deployment.</w:t>
      </w:r>
    </w:p>
    <w:p>
      <w:pPr>
        <w:pStyle w:val="Heading1"/>
        <w:keepNext/>
        <w:spacing w:before="320" w:after="120"/>
      </w:pPr>
      <w:r>
        <w:rPr>
          <w:rFonts w:ascii="Calibri" w:hAnsi="Calibri"/>
          <w:b/>
          <w:color w:val="0284C7"/>
          <w:sz w:val="34"/>
        </w:rPr>
        <w:t>17. References</w:t>
      </w:r>
    </w:p>
    <w:p>
      <w:pPr>
        <w:pStyle w:val="ListBullet"/>
        <w:spacing w:before="20" w:after="60" w:line="276" w:lineRule="auto"/>
      </w:pPr>
      <w:r>
        <w:rPr>
          <w:rFonts w:ascii="Calibri" w:hAnsi="Calibri"/>
          <w:color w:val="0F172A"/>
          <w:sz w:val="21"/>
        </w:rPr>
        <w:t>Alberta Health Services (AHS). Emergency Department Wait Times Telemetry Reporting. Edmonton &amp; Calgary Zones, Alberta, Canada.</w:t>
      </w:r>
    </w:p>
    <w:p>
      <w:pPr>
        <w:pStyle w:val="ListBullet"/>
        <w:spacing w:before="20" w:after="60" w:line="276" w:lineRule="auto"/>
      </w:pPr>
      <w:r>
        <w:rPr>
          <w:rFonts w:ascii="Calibri" w:hAnsi="Calibri"/>
          <w:color w:val="0F172A"/>
          <w:sz w:val="21"/>
        </w:rPr>
        <w:t>Veale, S. R. (2018). Open Emergency Wait Times Dataset. GitHub Repository: https://github.com/srveale/emergency-wait-times.</w:t>
      </w:r>
    </w:p>
    <w:p>
      <w:pPr>
        <w:pStyle w:val="ListBullet"/>
        <w:spacing w:before="20" w:after="60" w:line="276" w:lineRule="auto"/>
      </w:pPr>
      <w:r>
        <w:rPr>
          <w:rFonts w:ascii="Calibri" w:hAnsi="Calibri"/>
          <w:color w:val="0F172A"/>
          <w:sz w:val="21"/>
        </w:rPr>
        <w:t>Pedregosa, F., et al. (2011). Scikit-learn: Machine Learning in Python. Journal of Machine Learning Research, 12, 2825-2830.</w:t>
      </w:r>
    </w:p>
    <w:p>
      <w:pPr>
        <w:pStyle w:val="ListBullet"/>
        <w:spacing w:before="20" w:after="60" w:line="276" w:lineRule="auto"/>
      </w:pPr>
      <w:r>
        <w:rPr>
          <w:rFonts w:ascii="Calibri" w:hAnsi="Calibri"/>
          <w:color w:val="0F172A"/>
          <w:sz w:val="21"/>
        </w:rPr>
        <w:t>McKinney, W. (2010). Data Structures for Statistical Computing in Python. Proceedings of the 9th Python in Science Conference, 51-56.</w:t>
      </w:r>
    </w:p>
    <w:p>
      <w:pPr>
        <w:pStyle w:val="ListBullet"/>
        <w:spacing w:before="20" w:after="60" w:line="276" w:lineRule="auto"/>
      </w:pPr>
      <w:r>
        <w:rPr>
          <w:rFonts w:ascii="Calibri" w:hAnsi="Calibri"/>
          <w:color w:val="0F172A"/>
          <w:sz w:val="21"/>
        </w:rPr>
        <w:t>Streamlit Inc. (2024). Streamlit Documentation &amp; Clinical Application Development Framework. https://streamlit.io.</w:t>
      </w:r>
    </w:p>
    <w:p>
      <w:pPr>
        <w:pStyle w:val="ListBullet"/>
        <w:spacing w:before="20" w:after="60" w:line="276" w:lineRule="auto"/>
      </w:pPr>
      <w:r>
        <w:rPr>
          <w:rFonts w:ascii="Calibri" w:hAnsi="Calibri"/>
          <w:color w:val="0F172A"/>
          <w:sz w:val="21"/>
        </w:rPr>
        <w:t>Canadian Association of Emergency Physicians (CAEP). Canadian Triage and Acuity Scale (CTAS) Implementation Guidelines. CJEM, 2012.</w:t>
      </w:r>
    </w:p>
    <w:p>
      <w:pPr>
        <w:pStyle w:val="ListBullet"/>
        <w:spacing w:before="20" w:after="60" w:line="276" w:lineRule="auto"/>
      </w:pPr>
      <w:r>
        <w:rPr>
          <w:rFonts w:ascii="Calibri" w:hAnsi="Calibri"/>
          <w:color w:val="0F172A"/>
          <w:sz w:val="21"/>
        </w:rPr>
        <w:t>Armony, M., et al. (2015). Patient Flow in Hospitals: A Data-Driven Approach to Queueing Networks. Operations Research, 63(5), 1051-1072.</w:t>
      </w:r>
    </w:p>
    <w:p>
      <w:pPr>
        <w:pStyle w:val="Heading1"/>
        <w:keepNext/>
        <w:spacing w:before="320" w:after="120"/>
      </w:pPr>
      <w:r>
        <w:rPr>
          <w:rFonts w:ascii="Calibri" w:hAnsi="Calibri"/>
          <w:b/>
          <w:color w:val="0284C7"/>
          <w:sz w:val="34"/>
        </w:rPr>
        <w:t>18. Disclaimer</w:t>
      </w:r>
    </w:p>
    <w:p>
      <w:pPr>
        <w:spacing w:before="160" w:after="240"/>
      </w:pPr>
      <w:r>
        <w:rPr>
          <w:rFonts w:ascii="Calibri" w:hAnsi="Calibri"/>
          <w:b/>
          <w:i/>
          <w:color w:val="B91C1C"/>
          <w:sz w:val="22"/>
        </w:rPr>
        <w:t>"This project is intended for educational and analytical purposes. It does not provide medical diagnosis, clinical advice, emergency triage decisions, or treatment recommendations."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75569"/>
        <w:sz w:val="17"/>
      </w:rPr>
      <w:t>HealthFlow | BharatCares / AICTE Academic Internship Project Report — Student: Rohan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