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12D55109" w14:paraId="47F36C6D" wp14:textId="77777777">
      <w:pPr>
        <w:spacing w:after="80"/>
        <w:rPr>
          <w:rFonts w:ascii="Calibri" w:hAnsi="Calibri" w:eastAsia="Calibri" w:cs="Calibri"/>
          <w:b w:val="1"/>
          <w:bCs w:val="1"/>
          <w:caps w:val="1"/>
          <w:color w:val="028090"/>
          <w:sz w:val="32"/>
          <w:szCs w:val="32"/>
        </w:rPr>
      </w:pPr>
      <w:r w:rsidRPr="12D55109" w:rsidR="12D55109">
        <w:rPr>
          <w:rFonts w:ascii="Calibri" w:hAnsi="Calibri" w:eastAsia="Calibri" w:cs="Calibri"/>
          <w:b w:val="1"/>
          <w:bCs w:val="1"/>
          <w:caps w:val="1"/>
          <w:color w:val="028090"/>
          <w:sz w:val="32"/>
          <w:szCs w:val="32"/>
        </w:rPr>
        <w:t>EQUITY RESEARCH REPORT</w:t>
      </w:r>
    </w:p>
    <w:p xmlns:wp14="http://schemas.microsoft.com/office/word/2010/wordml" w:rsidP="12D55109" w14:paraId="22945E8E" wp14:textId="77777777">
      <w:pPr>
        <w:spacing w:after="40"/>
        <w:rPr>
          <w:rFonts w:ascii="Cambria" w:hAnsi="Cambria" w:eastAsia="Cambria" w:cs="Cambria"/>
          <w:b w:val="1"/>
          <w:bCs w:val="1"/>
          <w:color w:val="auto"/>
          <w:sz w:val="52"/>
          <w:szCs w:val="52"/>
        </w:rPr>
      </w:pPr>
      <w:r w:rsidRPr="12D55109" w:rsidR="12D55109">
        <w:rPr>
          <w:rFonts w:ascii="Cambria" w:hAnsi="Cambria" w:eastAsia="Cambria" w:cs="Cambria"/>
          <w:b w:val="1"/>
          <w:bCs w:val="1"/>
          <w:color w:val="auto"/>
          <w:sz w:val="52"/>
          <w:szCs w:val="52"/>
        </w:rPr>
        <w:t>Eli Lilly and Company</w:t>
      </w:r>
    </w:p>
    <w:p xmlns:wp14="http://schemas.microsoft.com/office/word/2010/wordml" w:rsidP="30A512F6" w14:paraId="30D3F4F0" wp14:textId="1B4293F6">
      <w:pPr>
        <w:spacing w:after="240"/>
        <w:rPr>
          <w:rFonts w:ascii="Calibri" w:hAnsi="Calibri" w:eastAsia="Calibri" w:cs="Calibri"/>
          <w:i w:val="0"/>
          <w:iCs w:val="0"/>
          <w:color w:val="auto"/>
          <w:sz w:val="21"/>
          <w:szCs w:val="21"/>
          <w:lang w:val="en-US"/>
        </w:rPr>
      </w:pPr>
      <w:r w:rsidRPr="30A512F6" w:rsidR="29765D8A">
        <w:rPr>
          <w:rFonts w:ascii="Calibri" w:hAnsi="Calibri" w:eastAsia="Calibri" w:cs="Calibri"/>
          <w:i w:val="0"/>
          <w:iCs w:val="0"/>
          <w:color w:val="auto"/>
          <w:sz w:val="21"/>
          <w:szCs w:val="21"/>
          <w:lang w:val="en-US"/>
        </w:rPr>
        <w:t xml:space="preserve">NYSE: LLY |Sector: Healthcare / </w:t>
      </w:r>
      <w:r w:rsidRPr="30A512F6" w:rsidR="3554E39F">
        <w:rPr>
          <w:rFonts w:ascii="Calibri" w:hAnsi="Calibri" w:eastAsia="Calibri" w:cs="Calibri"/>
          <w:i w:val="0"/>
          <w:iCs w:val="0"/>
          <w:color w:val="auto"/>
          <w:sz w:val="21"/>
          <w:szCs w:val="21"/>
          <w:lang w:val="en-US"/>
        </w:rPr>
        <w:t>Pharmaceuticals</w:t>
      </w:r>
      <w:r w:rsidRPr="30A512F6" w:rsidR="29765D8A">
        <w:rPr>
          <w:rFonts w:ascii="Calibri" w:hAnsi="Calibri" w:eastAsia="Calibri" w:cs="Calibri"/>
          <w:i w:val="0"/>
          <w:iCs w:val="0"/>
          <w:color w:val="auto"/>
          <w:sz w:val="21"/>
          <w:szCs w:val="21"/>
          <w:lang w:val="en-US"/>
        </w:rPr>
        <w:t xml:space="preserve"> |Aug 18, 2026</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rsidTr="30A512F6" w14:paraId="5978F176" wp14:textId="77777777">
        <w:tc>
          <w:tcPr>
            <w:tcW w:w="2340" w:type="dxa"/>
            <w:shd w:val="clear" w:color="auto" w:fill="DAE8F8"/>
            <w:tcMar>
              <w:top w:w="80" w:type="dxa"/>
              <w:left w:w="100" w:type="dxa"/>
              <w:bottom w:w="80" w:type="dxa"/>
              <w:right w:w="100" w:type="dxa"/>
            </w:tcMar>
            <w:vAlign w:val="center"/>
          </w:tcPr>
          <w:p w:rsidP="30A512F6" w14:paraId="2BADFF60" wp14:textId="77777777">
            <w:pPr>
              <w:jc w:val="center"/>
              <w:rPr>
                <w:rFonts w:ascii="Calibri" w:hAnsi="Calibri" w:eastAsia="Calibri" w:cs="Calibri"/>
                <w:b w:val="1"/>
                <w:bCs w:val="1"/>
                <w:color w:val="auto"/>
                <w:sz w:val="20"/>
                <w:szCs w:val="20"/>
              </w:rPr>
            </w:pPr>
            <w:r w:rsidRPr="30A512F6" w:rsidR="29765D8A">
              <w:rPr>
                <w:rFonts w:ascii="Calibri" w:hAnsi="Calibri" w:eastAsia="Calibri" w:cs="Calibri"/>
                <w:b w:val="1"/>
                <w:bCs w:val="1"/>
                <w:color w:val="auto"/>
                <w:sz w:val="20"/>
                <w:szCs w:val="20"/>
              </w:rPr>
              <w:t>RATING</w:t>
            </w:r>
          </w:p>
        </w:tc>
        <w:tc>
          <w:tcPr>
            <w:tcW w:w="2340" w:type="dxa"/>
            <w:shd w:val="clear" w:color="auto" w:fill="DAE8F8"/>
            <w:tcMar>
              <w:top w:w="80" w:type="dxa"/>
              <w:left w:w="100" w:type="dxa"/>
              <w:bottom w:w="80" w:type="dxa"/>
              <w:right w:w="100" w:type="dxa"/>
            </w:tcMar>
            <w:vAlign w:val="center"/>
          </w:tcPr>
          <w:p w:rsidP="30A512F6" w14:paraId="40DC4DA9" wp14:textId="77777777">
            <w:pPr>
              <w:jc w:val="center"/>
              <w:rPr>
                <w:rFonts w:ascii="Calibri" w:hAnsi="Calibri" w:eastAsia="Calibri" w:cs="Calibri"/>
                <w:b w:val="1"/>
                <w:bCs w:val="1"/>
                <w:color w:val="auto"/>
                <w:sz w:val="20"/>
                <w:szCs w:val="20"/>
              </w:rPr>
            </w:pPr>
            <w:r w:rsidRPr="30A512F6" w:rsidR="29765D8A">
              <w:rPr>
                <w:rFonts w:ascii="Calibri" w:hAnsi="Calibri" w:eastAsia="Calibri" w:cs="Calibri"/>
                <w:b w:val="1"/>
                <w:bCs w:val="1"/>
                <w:color w:val="auto"/>
                <w:sz w:val="20"/>
                <w:szCs w:val="20"/>
              </w:rPr>
              <w:t>CURRENT PRICE</w:t>
            </w:r>
          </w:p>
        </w:tc>
        <w:tc>
          <w:tcPr>
            <w:tcW w:w="2340" w:type="dxa"/>
            <w:shd w:val="clear" w:color="auto" w:fill="DAE8F8"/>
            <w:tcMar>
              <w:top w:w="80" w:type="dxa"/>
              <w:left w:w="100" w:type="dxa"/>
              <w:bottom w:w="80" w:type="dxa"/>
              <w:right w:w="100" w:type="dxa"/>
            </w:tcMar>
            <w:vAlign w:val="center"/>
          </w:tcPr>
          <w:p w:rsidP="30A512F6" w14:paraId="51F0A291" wp14:textId="77777777">
            <w:pPr>
              <w:jc w:val="center"/>
              <w:rPr>
                <w:rFonts w:ascii="Calibri" w:hAnsi="Calibri" w:eastAsia="Calibri" w:cs="Calibri"/>
                <w:b w:val="1"/>
                <w:bCs w:val="1"/>
                <w:color w:val="auto"/>
                <w:sz w:val="20"/>
                <w:szCs w:val="20"/>
              </w:rPr>
            </w:pPr>
            <w:r w:rsidRPr="30A512F6" w:rsidR="29765D8A">
              <w:rPr>
                <w:rFonts w:ascii="Calibri" w:hAnsi="Calibri" w:eastAsia="Calibri" w:cs="Calibri"/>
                <w:b w:val="1"/>
                <w:bCs w:val="1"/>
                <w:color w:val="auto"/>
                <w:sz w:val="20"/>
                <w:szCs w:val="20"/>
              </w:rPr>
              <w:t>TARGET PRICE</w:t>
            </w:r>
          </w:p>
        </w:tc>
        <w:tc>
          <w:tcPr>
            <w:tcW w:w="2340" w:type="dxa"/>
            <w:shd w:val="clear" w:color="auto" w:fill="DAE8F8"/>
            <w:tcMar>
              <w:top w:w="80" w:type="dxa"/>
              <w:left w:w="100" w:type="dxa"/>
              <w:bottom w:w="80" w:type="dxa"/>
              <w:right w:w="100" w:type="dxa"/>
            </w:tcMar>
            <w:vAlign w:val="center"/>
          </w:tcPr>
          <w:p w:rsidP="30A512F6" w14:paraId="249ED124" wp14:textId="77777777">
            <w:pPr>
              <w:jc w:val="center"/>
              <w:rPr>
                <w:rFonts w:ascii="Calibri" w:hAnsi="Calibri" w:eastAsia="Calibri" w:cs="Calibri"/>
                <w:b w:val="1"/>
                <w:bCs w:val="1"/>
                <w:color w:val="auto"/>
                <w:sz w:val="20"/>
                <w:szCs w:val="20"/>
              </w:rPr>
            </w:pPr>
            <w:r w:rsidRPr="30A512F6" w:rsidR="29765D8A">
              <w:rPr>
                <w:rFonts w:ascii="Calibri" w:hAnsi="Calibri" w:eastAsia="Calibri" w:cs="Calibri"/>
                <w:b w:val="1"/>
                <w:bCs w:val="1"/>
                <w:color w:val="auto"/>
                <w:sz w:val="20"/>
                <w:szCs w:val="20"/>
              </w:rPr>
              <w:t>IMPLIED RETURN</w:t>
            </w:r>
          </w:p>
        </w:tc>
      </w:tr>
      <w:tr xmlns:wp14="http://schemas.microsoft.com/office/word/2010/wordml" w:rsidTr="30A512F6" w14:paraId="30359A39" wp14:textId="77777777">
        <w:tc>
          <w:tcPr>
            <w:tcW w:w="2340" w:type="dxa"/>
            <w:shd w:val="clear" w:color="auto" w:fill="CCEBCA"/>
            <w:tcMar>
              <w:top w:w="80" w:type="dxa"/>
              <w:left w:w="100" w:type="dxa"/>
              <w:bottom w:w="80" w:type="dxa"/>
              <w:right w:w="100" w:type="dxa"/>
            </w:tcMar>
            <w:vAlign w:val="center"/>
          </w:tcPr>
          <w:p w:rsidP="30A512F6" w14:paraId="2F4D3D4B" wp14:textId="77777777">
            <w:pPr>
              <w:jc w:val="center"/>
              <w:rPr>
                <w:rFonts w:ascii="Calibri" w:hAnsi="Calibri" w:eastAsia="Calibri" w:cs="Calibri"/>
                <w:b w:val="1"/>
                <w:bCs w:val="1"/>
                <w:color w:val="auto"/>
                <w:sz w:val="20"/>
                <w:szCs w:val="20"/>
              </w:rPr>
            </w:pPr>
            <w:r w:rsidRPr="30A512F6" w:rsidR="29765D8A">
              <w:rPr>
                <w:rFonts w:ascii="Calibri" w:hAnsi="Calibri" w:eastAsia="Calibri" w:cs="Calibri"/>
                <w:b w:val="1"/>
                <w:bCs w:val="1"/>
                <w:color w:val="auto"/>
                <w:sz w:val="20"/>
                <w:szCs w:val="20"/>
              </w:rPr>
              <w:t>HOLD</w:t>
            </w:r>
          </w:p>
        </w:tc>
        <w:tc>
          <w:tcPr>
            <w:tcW w:w="2340" w:type="dxa"/>
            <w:tcMar>
              <w:top w:w="80" w:type="dxa"/>
              <w:left w:w="100" w:type="dxa"/>
              <w:bottom w:w="80" w:type="dxa"/>
              <w:right w:w="100" w:type="dxa"/>
            </w:tcMar>
            <w:vAlign w:val="center"/>
          </w:tcPr>
          <w:p w:rsidP="30A512F6" w14:paraId="4504E5B3" wp14:textId="77777777">
            <w:pPr>
              <w:jc w:val="center"/>
              <w:rPr>
                <w:rFonts w:ascii="Calibri" w:hAnsi="Calibri" w:eastAsia="Calibri" w:cs="Calibri"/>
                <w:b w:val="1"/>
                <w:bCs w:val="1"/>
                <w:color w:val="222222"/>
                <w:sz w:val="20"/>
                <w:szCs w:val="20"/>
              </w:rPr>
            </w:pPr>
            <w:r w:rsidRPr="30A512F6" w:rsidR="30A512F6">
              <w:rPr>
                <w:rFonts w:ascii="Calibri" w:hAnsi="Calibri" w:eastAsia="Calibri" w:cs="Calibri"/>
                <w:b w:val="1"/>
                <w:bCs w:val="1"/>
                <w:color w:val="222222"/>
                <w:sz w:val="20"/>
                <w:szCs w:val="20"/>
              </w:rPr>
              <w:t>$1,180.16</w:t>
            </w:r>
          </w:p>
        </w:tc>
        <w:tc>
          <w:tcPr>
            <w:tcW w:w="2340" w:type="dxa"/>
            <w:tcMar>
              <w:top w:w="80" w:type="dxa"/>
              <w:left w:w="100" w:type="dxa"/>
              <w:bottom w:w="80" w:type="dxa"/>
              <w:right w:w="100" w:type="dxa"/>
            </w:tcMar>
            <w:vAlign w:val="center"/>
          </w:tcPr>
          <w:p w:rsidP="30A512F6" w14:paraId="1653CBA3" wp14:textId="77777777">
            <w:pPr>
              <w:jc w:val="center"/>
              <w:rPr>
                <w:rFonts w:ascii="Calibri" w:hAnsi="Calibri" w:eastAsia="Calibri" w:cs="Calibri"/>
                <w:b w:val="1"/>
                <w:bCs w:val="1"/>
                <w:color w:val="222222"/>
                <w:sz w:val="20"/>
                <w:szCs w:val="20"/>
              </w:rPr>
            </w:pPr>
            <w:r w:rsidRPr="30A512F6" w:rsidR="30A512F6">
              <w:rPr>
                <w:rFonts w:ascii="Calibri" w:hAnsi="Calibri" w:eastAsia="Calibri" w:cs="Calibri"/>
                <w:b w:val="1"/>
                <w:bCs w:val="1"/>
                <w:color w:val="222222"/>
                <w:sz w:val="20"/>
                <w:szCs w:val="20"/>
              </w:rPr>
              <w:t>$1,063.06</w:t>
            </w:r>
          </w:p>
        </w:tc>
        <w:tc>
          <w:tcPr>
            <w:tcW w:w="2340" w:type="dxa"/>
            <w:tcMar>
              <w:top w:w="80" w:type="dxa"/>
              <w:left w:w="100" w:type="dxa"/>
              <w:bottom w:w="80" w:type="dxa"/>
              <w:right w:w="100" w:type="dxa"/>
            </w:tcMar>
            <w:vAlign w:val="center"/>
          </w:tcPr>
          <w:p w:rsidP="30A512F6" w14:paraId="61030980" wp14:textId="77777777">
            <w:pPr>
              <w:jc w:val="center"/>
              <w:rPr>
                <w:rFonts w:ascii="Calibri" w:hAnsi="Calibri" w:eastAsia="Calibri" w:cs="Calibri"/>
                <w:b w:val="1"/>
                <w:bCs w:val="1"/>
                <w:color w:val="auto"/>
                <w:sz w:val="20"/>
                <w:szCs w:val="20"/>
              </w:rPr>
            </w:pPr>
            <w:r w:rsidRPr="30A512F6" w:rsidR="30A512F6">
              <w:rPr>
                <w:rFonts w:ascii="Calibri" w:hAnsi="Calibri" w:eastAsia="Calibri" w:cs="Calibri"/>
                <w:b w:val="1"/>
                <w:bCs w:val="1"/>
                <w:color w:val="auto"/>
                <w:sz w:val="20"/>
                <w:szCs w:val="20"/>
              </w:rPr>
              <w:t>(9.9%)</w:t>
            </w:r>
          </w:p>
        </w:tc>
      </w:tr>
    </w:tbl>
    <w:p xmlns:wp14="http://schemas.microsoft.com/office/word/2010/wordml" w14:paraId="672A6659" wp14:textId="77777777">
      <w:pPr>
        <w:spacing w:after="200"/>
      </w:pPr>
    </w:p>
    <w:p xmlns:wp14="http://schemas.microsoft.com/office/word/2010/wordml" w:rsidP="12D55109" w14:paraId="1AA1E73B" wp14:textId="69ACB075">
      <w:pPr>
        <w:spacing w:after="160" w:line="276" w:lineRule="auto"/>
        <w:jc w:val="both"/>
      </w:pPr>
      <w:r w:rsidRPr="30A512F6" w:rsidR="29765D8A">
        <w:rPr>
          <w:rFonts w:ascii="Calibri" w:hAnsi="Calibri" w:eastAsia="Calibri" w:cs="Calibri"/>
          <w:i w:val="0"/>
          <w:iCs w:val="0"/>
          <w:color w:val="auto"/>
          <w:sz w:val="18"/>
          <w:szCs w:val="18"/>
          <w:lang w:val="en-US"/>
        </w:rPr>
        <w:t>This report was prepared independently as a self-directed equity research portfolio project. All figures are sourced from Eli Lilly's SEC filings, company guidance and public market data as cited throughout (see the companion Excel model for full source citations</w:t>
      </w:r>
      <w:r w:rsidRPr="30A512F6" w:rsidR="4A90D22C">
        <w:rPr>
          <w:rFonts w:ascii="Calibri" w:hAnsi="Calibri" w:eastAsia="Calibri" w:cs="Calibri"/>
          <w:i w:val="0"/>
          <w:iCs w:val="0"/>
          <w:color w:val="auto"/>
          <w:sz w:val="18"/>
          <w:szCs w:val="18"/>
          <w:lang w:val="en-US"/>
        </w:rPr>
        <w:t>).</w:t>
      </w:r>
    </w:p>
    <w:p w:rsidR="30A512F6" w:rsidP="30A512F6" w:rsidRDefault="30A512F6" w14:paraId="7CC66A1E" w14:textId="3BED114B">
      <w:pPr>
        <w:spacing w:after="160" w:line="276" w:lineRule="auto"/>
        <w:jc w:val="both"/>
        <w:rPr>
          <w:rFonts w:ascii="Calibri" w:hAnsi="Calibri" w:eastAsia="Calibri" w:cs="Calibri"/>
          <w:i w:val="0"/>
          <w:iCs w:val="0"/>
          <w:color w:val="auto"/>
          <w:sz w:val="18"/>
          <w:szCs w:val="18"/>
          <w:lang w:val="en-US"/>
        </w:rPr>
      </w:pPr>
    </w:p>
    <w:p w:rsidR="30A512F6" w:rsidP="30A512F6" w:rsidRDefault="30A512F6" w14:paraId="1A0FA45F" w14:textId="7959F715">
      <w:pPr>
        <w:spacing w:after="160" w:line="276" w:lineRule="auto"/>
        <w:jc w:val="both"/>
        <w:rPr>
          <w:rFonts w:ascii="Calibri" w:hAnsi="Calibri" w:eastAsia="Calibri" w:cs="Calibri"/>
          <w:i w:val="0"/>
          <w:iCs w:val="0"/>
          <w:color w:val="auto"/>
          <w:sz w:val="18"/>
          <w:szCs w:val="18"/>
          <w:lang w:val="en-US"/>
        </w:rPr>
      </w:pPr>
    </w:p>
    <w:p w:rsidR="30A512F6" w:rsidP="30A512F6" w:rsidRDefault="30A512F6" w14:paraId="7E3B765F" w14:textId="5DE77A51">
      <w:pPr>
        <w:spacing w:after="160" w:line="276" w:lineRule="auto"/>
        <w:jc w:val="both"/>
        <w:rPr>
          <w:rFonts w:ascii="Calibri" w:hAnsi="Calibri" w:eastAsia="Calibri" w:cs="Calibri"/>
          <w:i w:val="0"/>
          <w:iCs w:val="0"/>
          <w:color w:val="auto"/>
          <w:sz w:val="18"/>
          <w:szCs w:val="18"/>
          <w:lang w:val="en-US"/>
        </w:rPr>
      </w:pPr>
    </w:p>
    <w:p xmlns:wp14="http://schemas.microsoft.com/office/word/2010/wordml" w14:paraId="0A37501D" wp14:textId="77777777">
      <w:pPr>
        <w:spacing w:before="120" w:after="160"/>
        <w:jc w:val="center"/>
      </w:pPr>
      <w:r>
        <w:drawing>
          <wp:inline xmlns:wp14="http://schemas.microsoft.com/office/word/2010/wordprocessingDrawing" distT="0" distB="0" distL="0" distR="0" wp14:anchorId="2B8E0C64" wp14:editId="7777777">
            <wp:extent cx="5905500" cy="27908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90825"/>
                    </a:xfrm>
                    <a:prstGeom prst="rect">
                      <a:avLst/>
                    </a:prstGeom>
                  </pic:spPr>
                </pic:pic>
              </a:graphicData>
            </a:graphic>
          </wp:inline>
        </w:drawing>
      </w:r>
    </w:p>
    <w:p xmlns:wp14="http://schemas.microsoft.com/office/word/2010/wordml" w:rsidP="30A512F6" w14:paraId="3430DE04" wp14:textId="77777777">
      <w:pPr>
        <w:pStyle w:val="Heading2"/>
        <w:spacing w:before="240" w:after="120"/>
        <w:rPr>
          <w:rFonts w:ascii="Calibri" w:hAnsi="Calibri" w:eastAsia="Calibri" w:cs="Calibri"/>
          <w:b w:val="1"/>
          <w:bCs w:val="1"/>
          <w:color w:val="45126B"/>
        </w:rPr>
      </w:pPr>
      <w:r w:rsidRPr="30A512F6" w:rsidR="29765D8A">
        <w:rPr>
          <w:rFonts w:ascii="Calibri" w:hAnsi="Calibri" w:eastAsia="Calibri" w:cs="Calibri"/>
          <w:b w:val="1"/>
          <w:bCs w:val="1"/>
          <w:color w:val="45126B"/>
        </w:rPr>
        <w:t>Investment Snapshot</w:t>
      </w:r>
    </w:p>
    <w:p xmlns:wp14="http://schemas.microsoft.com/office/word/2010/wordml" w:rsidP="30A512F6" w14:paraId="482E89E4" wp14:textId="02E5BCBB">
      <w:pPr>
        <w:pStyle w:val="ListParagraph"/>
        <w:numPr>
          <w:ilvl w:val="0"/>
          <w:numId w:val="4"/>
        </w:numPr>
        <w:spacing w:after="100"/>
        <w:rPr>
          <w:b w:val="0"/>
          <w:bCs w:val="0"/>
          <w:i w:val="0"/>
          <w:iCs w:val="0"/>
          <w:caps w:val="0"/>
          <w:smallCaps w:val="0"/>
          <w:strike w:val="0"/>
          <w:dstrike w:val="0"/>
          <w:color w:val="000000"/>
          <w:sz w:val="22"/>
          <w:szCs w:val="22"/>
          <w:u w:val="none"/>
        </w:rPr>
      </w:pPr>
      <w:r w:rsidRPr="30A512F6" w:rsidR="2A7A6061">
        <w:rPr>
          <w:b w:val="1"/>
          <w:bCs w:val="1"/>
          <w:i w:val="0"/>
          <w:iCs w:val="0"/>
          <w:caps w:val="0"/>
          <w:smallCaps w:val="0"/>
          <w:strike w:val="0"/>
          <w:dstrike w:val="0"/>
          <w:color w:val="000000"/>
          <w:sz w:val="22"/>
          <w:szCs w:val="22"/>
          <w:u w:val="none"/>
        </w:rPr>
        <w:t>GLP-1 franchise expansion is the core investment driver</w:t>
      </w:r>
      <w:r w:rsidRPr="30A512F6" w:rsidR="2A7A6061">
        <w:rPr>
          <w:b w:val="0"/>
          <w:bCs w:val="0"/>
          <w:i w:val="0"/>
          <w:iCs w:val="0"/>
          <w:caps w:val="0"/>
          <w:smallCaps w:val="0"/>
          <w:strike w:val="0"/>
          <w:dstrike w:val="0"/>
          <w:color w:val="000000"/>
          <w:sz w:val="22"/>
          <w:szCs w:val="22"/>
          <w:u w:val="none"/>
        </w:rPr>
        <w:t>:</w:t>
      </w:r>
      <w:r w:rsidRPr="30A512F6" w:rsidR="2A7A6061">
        <w:rPr>
          <w:b w:val="0"/>
          <w:bCs w:val="0"/>
          <w:i w:val="0"/>
          <w:iCs w:val="0"/>
          <w:caps w:val="0"/>
          <w:smallCaps w:val="0"/>
          <w:strike w:val="0"/>
          <w:dstrike w:val="0"/>
          <w:color w:val="000000"/>
          <w:sz w:val="22"/>
          <w:szCs w:val="22"/>
          <w:u w:val="none"/>
        </w:rPr>
        <w:t xml:space="preserve"> Mounjaro and Zepbound grew from zero to </w:t>
      </w:r>
      <w:r w:rsidRPr="30A512F6" w:rsidR="425E64B8">
        <w:rPr>
          <w:b w:val="0"/>
          <w:bCs w:val="0"/>
          <w:i w:val="0"/>
          <w:iCs w:val="0"/>
          <w:caps w:val="0"/>
          <w:smallCaps w:val="0"/>
          <w:strike w:val="0"/>
          <w:dstrike w:val="0"/>
          <w:color w:val="000000"/>
          <w:sz w:val="22"/>
          <w:szCs w:val="22"/>
          <w:u w:val="none"/>
        </w:rPr>
        <w:t>65</w:t>
      </w:r>
      <w:r w:rsidRPr="30A512F6" w:rsidR="2A7A6061">
        <w:rPr>
          <w:b w:val="0"/>
          <w:bCs w:val="0"/>
          <w:i w:val="0"/>
          <w:iCs w:val="0"/>
          <w:caps w:val="0"/>
          <w:smallCaps w:val="0"/>
          <w:strike w:val="0"/>
          <w:dstrike w:val="0"/>
          <w:color w:val="000000"/>
          <w:sz w:val="22"/>
          <w:szCs w:val="22"/>
          <w:u w:val="none"/>
        </w:rPr>
        <w:t>% of FY2025 revenu</w:t>
      </w:r>
      <w:r w:rsidRPr="30A512F6" w:rsidR="19F596F2">
        <w:rPr>
          <w:b w:val="0"/>
          <w:bCs w:val="0"/>
          <w:i w:val="0"/>
          <w:iCs w:val="0"/>
          <w:caps w:val="0"/>
          <w:smallCaps w:val="0"/>
          <w:strike w:val="0"/>
          <w:dstrike w:val="0"/>
          <w:color w:val="000000"/>
          <w:sz w:val="22"/>
          <w:szCs w:val="22"/>
          <w:u w:val="none"/>
        </w:rPr>
        <w:t>e</w:t>
      </w:r>
      <w:r w:rsidRPr="30A512F6" w:rsidR="07AB4ABB">
        <w:rPr>
          <w:b w:val="0"/>
          <w:bCs w:val="0"/>
          <w:i w:val="0"/>
          <w:iCs w:val="0"/>
          <w:caps w:val="0"/>
          <w:smallCaps w:val="0"/>
          <w:strike w:val="0"/>
          <w:dstrike w:val="0"/>
          <w:color w:val="000000"/>
          <w:sz w:val="22"/>
          <w:szCs w:val="22"/>
          <w:u w:val="none"/>
        </w:rPr>
        <w:t>,</w:t>
      </w:r>
      <w:r w:rsidRPr="30A512F6" w:rsidR="2A7A6061">
        <w:rPr>
          <w:b w:val="0"/>
          <w:bCs w:val="0"/>
          <w:i w:val="0"/>
          <w:iCs w:val="0"/>
          <w:caps w:val="0"/>
          <w:smallCaps w:val="0"/>
          <w:strike w:val="0"/>
          <w:dstrike w:val="0"/>
          <w:color w:val="000000"/>
          <w:sz w:val="22"/>
          <w:szCs w:val="22"/>
          <w:u w:val="none"/>
        </w:rPr>
        <w:t xml:space="preserve"> making the franchise</w:t>
      </w:r>
      <w:r w:rsidRPr="30A512F6" w:rsidR="2A7A6061">
        <w:rPr>
          <w:b w:val="0"/>
          <w:bCs w:val="0"/>
          <w:i w:val="0"/>
          <w:iCs w:val="0"/>
          <w:caps w:val="0"/>
          <w:smallCaps w:val="0"/>
          <w:strike w:val="0"/>
          <w:dstrike w:val="0"/>
          <w:color w:val="000000"/>
          <w:sz w:val="22"/>
          <w:szCs w:val="22"/>
          <w:u w:val="none"/>
        </w:rPr>
        <w:t xml:space="preserve"> the central pillar of LLY’s growth thesis.</w:t>
      </w:r>
    </w:p>
    <w:p xmlns:wp14="http://schemas.microsoft.com/office/word/2010/wordml" w:rsidP="30A512F6" w14:paraId="55981883" wp14:textId="03142821">
      <w:pPr>
        <w:pStyle w:val="ListParagraph"/>
        <w:numPr>
          <w:ilvl w:val="0"/>
          <w:numId w:val="4"/>
        </w:numPr>
        <w:spacing w:after="100"/>
        <w:rPr>
          <w:b w:val="0"/>
          <w:bCs w:val="0"/>
          <w:i w:val="0"/>
          <w:iCs w:val="0"/>
          <w:caps w:val="0"/>
          <w:smallCaps w:val="0"/>
          <w:strike w:val="0"/>
          <w:dstrike w:val="0"/>
          <w:color w:val="000000"/>
          <w:sz w:val="22"/>
          <w:szCs w:val="22"/>
          <w:u w:val="none"/>
        </w:rPr>
      </w:pPr>
      <w:r w:rsidRPr="30A512F6" w:rsidR="2A7A6061">
        <w:rPr>
          <w:b w:val="1"/>
          <w:bCs w:val="1"/>
          <w:i w:val="0"/>
          <w:iCs w:val="0"/>
          <w:caps w:val="0"/>
          <w:smallCaps w:val="0"/>
          <w:strike w:val="0"/>
          <w:dstrike w:val="0"/>
          <w:color w:val="000000"/>
          <w:sz w:val="22"/>
          <w:szCs w:val="22"/>
          <w:u w:val="none"/>
        </w:rPr>
        <w:t>DCF points to broadly fair value</w:t>
      </w:r>
      <w:r w:rsidRPr="30A512F6" w:rsidR="2A7A6061">
        <w:rPr>
          <w:b w:val="0"/>
          <w:bCs w:val="0"/>
          <w:i w:val="0"/>
          <w:iCs w:val="0"/>
          <w:caps w:val="0"/>
          <w:smallCaps w:val="0"/>
          <w:strike w:val="0"/>
          <w:dstrike w:val="0"/>
          <w:color w:val="000000"/>
          <w:sz w:val="22"/>
          <w:szCs w:val="22"/>
          <w:u w:val="none"/>
        </w:rPr>
        <w:t>:</w:t>
      </w:r>
      <w:r w:rsidRPr="30A512F6" w:rsidR="2A7A6061">
        <w:rPr>
          <w:b w:val="0"/>
          <w:bCs w:val="0"/>
          <w:i w:val="0"/>
          <w:iCs w:val="0"/>
          <w:caps w:val="0"/>
          <w:smallCaps w:val="0"/>
          <w:strike w:val="0"/>
          <w:dstrike w:val="0"/>
          <w:color w:val="000000"/>
          <w:sz w:val="22"/>
          <w:szCs w:val="22"/>
          <w:u w:val="none"/>
        </w:rPr>
        <w:t xml:space="preserve"> The DCF indicates shares are approximately </w:t>
      </w:r>
      <w:r w:rsidRPr="30A512F6" w:rsidR="2A7A6061">
        <w:rPr>
          <w:b w:val="0"/>
          <w:bCs w:val="0"/>
          <w:i w:val="0"/>
          <w:iCs w:val="0"/>
          <w:caps w:val="0"/>
          <w:smallCaps w:val="0"/>
          <w:strike w:val="0"/>
          <w:dstrike w:val="0"/>
          <w:color w:val="000000"/>
          <w:sz w:val="22"/>
          <w:szCs w:val="22"/>
          <w:u w:val="none"/>
        </w:rPr>
        <w:t xml:space="preserve">2.1% below fair </w:t>
      </w:r>
      <w:r w:rsidRPr="30A512F6" w:rsidR="2A7A6061">
        <w:rPr>
          <w:b w:val="0"/>
          <w:bCs w:val="0"/>
          <w:i w:val="0"/>
          <w:iCs w:val="0"/>
          <w:caps w:val="0"/>
          <w:smallCaps w:val="0"/>
          <w:strike w:val="0"/>
          <w:dstrike w:val="0"/>
          <w:color w:val="000000"/>
          <w:sz w:val="22"/>
          <w:szCs w:val="22"/>
          <w:u w:val="none"/>
        </w:rPr>
        <w:t>va</w:t>
      </w:r>
      <w:r w:rsidRPr="30A512F6" w:rsidR="2A7A6061">
        <w:rPr>
          <w:b w:val="0"/>
          <w:bCs w:val="0"/>
          <w:i w:val="0"/>
          <w:iCs w:val="0"/>
          <w:caps w:val="0"/>
          <w:smallCaps w:val="0"/>
          <w:strike w:val="0"/>
          <w:dstrike w:val="0"/>
          <w:color w:val="000000"/>
          <w:sz w:val="22"/>
          <w:szCs w:val="22"/>
          <w:u w:val="none"/>
        </w:rPr>
        <w:t>lue</w:t>
      </w:r>
      <w:r w:rsidRPr="30A512F6" w:rsidR="2A7A6061">
        <w:rPr>
          <w:b w:val="0"/>
          <w:bCs w:val="0"/>
          <w:i w:val="0"/>
          <w:iCs w:val="0"/>
          <w:caps w:val="0"/>
          <w:smallCaps w:val="0"/>
          <w:strike w:val="0"/>
          <w:dstrike w:val="0"/>
          <w:color w:val="000000"/>
          <w:sz w:val="22"/>
          <w:szCs w:val="22"/>
          <w:u w:val="none"/>
        </w:rPr>
        <w:t xml:space="preserve"> whi</w:t>
      </w:r>
      <w:r w:rsidRPr="30A512F6" w:rsidR="2A7A6061">
        <w:rPr>
          <w:b w:val="0"/>
          <w:bCs w:val="0"/>
          <w:i w:val="0"/>
          <w:iCs w:val="0"/>
          <w:caps w:val="0"/>
          <w:smallCaps w:val="0"/>
          <w:strike w:val="0"/>
          <w:dstrike w:val="0"/>
          <w:color w:val="000000"/>
          <w:sz w:val="22"/>
          <w:szCs w:val="22"/>
          <w:u w:val="none"/>
        </w:rPr>
        <w:t>le a straightforward peer-multiple approach appears significantly more bearish. However, the comps-based discount is overstated because peers have materially lower growth profiles.</w:t>
      </w:r>
    </w:p>
    <w:p xmlns:wp14="http://schemas.microsoft.com/office/word/2010/wordml" w:rsidP="30A512F6" w14:paraId="6618B71C" wp14:textId="1F8B266C">
      <w:pPr>
        <w:pStyle w:val="ListParagraph"/>
        <w:numPr>
          <w:ilvl w:val="0"/>
          <w:numId w:val="4"/>
        </w:numPr>
        <w:spacing w:after="100"/>
        <w:rPr>
          <w:b w:val="0"/>
          <w:bCs w:val="0"/>
          <w:i w:val="0"/>
          <w:iCs w:val="0"/>
          <w:caps w:val="0"/>
          <w:smallCaps w:val="0"/>
          <w:strike w:val="0"/>
          <w:dstrike w:val="0"/>
          <w:noProof w:val="0"/>
          <w:color w:val="000000"/>
          <w:sz w:val="22"/>
          <w:szCs w:val="22"/>
          <w:u w:val="none"/>
          <w:lang w:val="en-US"/>
        </w:rPr>
      </w:pPr>
      <w:r w:rsidRPr="30A512F6" w:rsidR="0C727AEA">
        <w:rPr>
          <w:b w:val="1"/>
          <w:bCs w:val="1"/>
          <w:i w:val="0"/>
          <w:iCs w:val="0"/>
          <w:caps w:val="0"/>
          <w:smallCaps w:val="0"/>
          <w:strike w:val="0"/>
          <w:dstrike w:val="0"/>
          <w:noProof w:val="0"/>
          <w:color w:val="000000"/>
          <w:sz w:val="22"/>
          <w:szCs w:val="22"/>
          <w:u w:val="none"/>
          <w:lang w:val="en-US"/>
        </w:rPr>
        <w:t>Valuation supports a HOLD:</w:t>
      </w:r>
      <w:r w:rsidRPr="30A512F6" w:rsidR="0C727AEA">
        <w:rPr>
          <w:b w:val="0"/>
          <w:bCs w:val="0"/>
          <w:i w:val="0"/>
          <w:iCs w:val="0"/>
          <w:caps w:val="0"/>
          <w:smallCaps w:val="0"/>
          <w:strike w:val="0"/>
          <w:dstrike w:val="0"/>
          <w:noProof w:val="0"/>
          <w:color w:val="000000"/>
          <w:sz w:val="22"/>
          <w:szCs w:val="22"/>
          <w:u w:val="none"/>
          <w:lang w:val="en-US"/>
        </w:rPr>
        <w:t xml:space="preserve"> T</w:t>
      </w:r>
      <w:r w:rsidRPr="30A512F6" w:rsidR="0C727AEA">
        <w:rPr>
          <w:b w:val="0"/>
          <w:bCs w:val="0"/>
          <w:i w:val="0"/>
          <w:iCs w:val="0"/>
          <w:caps w:val="0"/>
          <w:smallCaps w:val="0"/>
          <w:strike w:val="0"/>
          <w:dstrike w:val="0"/>
          <w:noProof w:val="0"/>
          <w:color w:val="000000"/>
          <w:sz w:val="22"/>
          <w:szCs w:val="22"/>
          <w:u w:val="none"/>
          <w:lang w:val="en-US"/>
        </w:rPr>
        <w:t xml:space="preserve">he </w:t>
      </w:r>
      <w:r w:rsidRPr="30A512F6" w:rsidR="0C727AEA">
        <w:rPr>
          <w:b w:val="0"/>
          <w:bCs w:val="0"/>
          <w:i w:val="0"/>
          <w:iCs w:val="0"/>
          <w:caps w:val="0"/>
          <w:smallCaps w:val="0"/>
          <w:strike w:val="0"/>
          <w:dstrike w:val="0"/>
          <w:noProof w:val="0"/>
          <w:color w:val="000000"/>
          <w:sz w:val="22"/>
          <w:szCs w:val="22"/>
          <w:u w:val="none"/>
          <w:lang w:val="en-US"/>
        </w:rPr>
        <w:t xml:space="preserve">blended target price of $1,063 implies </w:t>
      </w:r>
      <w:r w:rsidRPr="30A512F6" w:rsidR="321EEA19">
        <w:rPr>
          <w:b w:val="0"/>
          <w:bCs w:val="0"/>
          <w:i w:val="0"/>
          <w:iCs w:val="0"/>
          <w:caps w:val="0"/>
          <w:smallCaps w:val="0"/>
          <w:strike w:val="0"/>
          <w:dstrike w:val="0"/>
          <w:noProof w:val="0"/>
          <w:color w:val="000000"/>
          <w:sz w:val="22"/>
          <w:szCs w:val="22"/>
          <w:u w:val="none"/>
          <w:lang w:val="en-US"/>
        </w:rPr>
        <w:t xml:space="preserve">a </w:t>
      </w:r>
      <w:r w:rsidRPr="30A512F6" w:rsidR="0C727AEA">
        <w:rPr>
          <w:b w:val="0"/>
          <w:bCs w:val="0"/>
          <w:i w:val="0"/>
          <w:iCs w:val="0"/>
          <w:caps w:val="0"/>
          <w:smallCaps w:val="0"/>
          <w:strike w:val="0"/>
          <w:dstrike w:val="0"/>
          <w:noProof w:val="0"/>
          <w:color w:val="000000"/>
          <w:sz w:val="22"/>
          <w:szCs w:val="22"/>
          <w:u w:val="none"/>
          <w:lang w:val="en-US"/>
        </w:rPr>
        <w:t>10% downside</w:t>
      </w:r>
      <w:r w:rsidRPr="30A512F6" w:rsidR="6A30C77D">
        <w:rPr>
          <w:b w:val="0"/>
          <w:bCs w:val="0"/>
          <w:i w:val="0"/>
          <w:iCs w:val="0"/>
          <w:caps w:val="0"/>
          <w:smallCaps w:val="0"/>
          <w:strike w:val="0"/>
          <w:dstrike w:val="0"/>
          <w:noProof w:val="0"/>
          <w:color w:val="000000"/>
          <w:sz w:val="22"/>
          <w:szCs w:val="22"/>
          <w:u w:val="none"/>
          <w:lang w:val="en-US"/>
        </w:rPr>
        <w:t xml:space="preserve"> </w:t>
      </w:r>
      <w:r w:rsidRPr="30A512F6" w:rsidR="0C727AEA">
        <w:rPr>
          <w:b w:val="0"/>
          <w:bCs w:val="0"/>
          <w:i w:val="0"/>
          <w:iCs w:val="0"/>
          <w:caps w:val="0"/>
          <w:smallCaps w:val="0"/>
          <w:strike w:val="0"/>
          <w:dstrike w:val="0"/>
          <w:noProof w:val="0"/>
          <w:color w:val="000000"/>
          <w:sz w:val="22"/>
          <w:szCs w:val="22"/>
          <w:u w:val="none"/>
          <w:lang w:val="en-US"/>
        </w:rPr>
        <w:t xml:space="preserve">supporting a </w:t>
      </w:r>
      <w:r w:rsidRPr="30A512F6" w:rsidR="0C727AEA">
        <w:rPr>
          <w:b w:val="0"/>
          <w:bCs w:val="0"/>
          <w:i w:val="0"/>
          <w:iCs w:val="0"/>
          <w:caps w:val="0"/>
          <w:smallCaps w:val="0"/>
          <w:strike w:val="0"/>
          <w:dstrike w:val="0"/>
          <w:noProof w:val="0"/>
          <w:color w:val="000000"/>
          <w:sz w:val="22"/>
          <w:szCs w:val="22"/>
          <w:u w:val="none"/>
          <w:lang w:val="en-US"/>
        </w:rPr>
        <w:t xml:space="preserve">HOLD </w:t>
      </w:r>
      <w:r w:rsidRPr="30A512F6" w:rsidR="0C727AEA">
        <w:rPr>
          <w:b w:val="0"/>
          <w:bCs w:val="0"/>
          <w:i w:val="0"/>
          <w:iCs w:val="0"/>
          <w:caps w:val="0"/>
          <w:smallCaps w:val="0"/>
          <w:strike w:val="0"/>
          <w:dstrike w:val="0"/>
          <w:noProof w:val="0"/>
          <w:color w:val="000000"/>
          <w:sz w:val="22"/>
          <w:szCs w:val="22"/>
          <w:u w:val="none"/>
          <w:lang w:val="en-US"/>
        </w:rPr>
        <w:t xml:space="preserve">rating. This reflects a view that LLY is </w:t>
      </w:r>
      <w:r w:rsidRPr="30A512F6" w:rsidR="0C727AEA">
        <w:rPr>
          <w:b w:val="0"/>
          <w:bCs w:val="0"/>
          <w:i w:val="0"/>
          <w:iCs w:val="0"/>
          <w:caps w:val="0"/>
          <w:smallCaps w:val="0"/>
          <w:strike w:val="0"/>
          <w:dstrike w:val="0"/>
          <w:noProof w:val="0"/>
          <w:color w:val="000000"/>
          <w:sz w:val="22"/>
          <w:szCs w:val="22"/>
          <w:u w:val="none"/>
          <w:lang w:val="en-US"/>
        </w:rPr>
        <w:t>fully valued rather than fundamentally overvalued</w:t>
      </w:r>
      <w:r w:rsidRPr="30A512F6" w:rsidR="06DA355E">
        <w:rPr>
          <w:b w:val="0"/>
          <w:bCs w:val="0"/>
          <w:i w:val="0"/>
          <w:iCs w:val="0"/>
          <w:caps w:val="0"/>
          <w:smallCaps w:val="0"/>
          <w:strike w:val="0"/>
          <w:dstrike w:val="0"/>
          <w:noProof w:val="0"/>
          <w:color w:val="000000"/>
          <w:sz w:val="22"/>
          <w:szCs w:val="22"/>
          <w:u w:val="none"/>
          <w:lang w:val="en-US"/>
        </w:rPr>
        <w:t xml:space="preserve"> </w:t>
      </w:r>
      <w:r w:rsidRPr="30A512F6" w:rsidR="0C727AEA">
        <w:rPr>
          <w:b w:val="0"/>
          <w:bCs w:val="0"/>
          <w:i w:val="0"/>
          <w:iCs w:val="0"/>
          <w:caps w:val="0"/>
          <w:smallCaps w:val="0"/>
          <w:strike w:val="0"/>
          <w:dstrike w:val="0"/>
          <w:noProof w:val="0"/>
          <w:color w:val="000000"/>
          <w:sz w:val="22"/>
          <w:szCs w:val="22"/>
          <w:u w:val="none"/>
          <w:lang w:val="en-US"/>
        </w:rPr>
        <w:t>with further upside dependent on continued execution and sustained premium valuation.</w:t>
      </w:r>
    </w:p>
    <w:p xmlns:wp14="http://schemas.microsoft.com/office/word/2010/wordml" w:rsidP="30A512F6" w14:paraId="7033B002" wp14:textId="7E90A23A">
      <w:pPr>
        <w:pStyle w:val="ListParagraph"/>
        <w:spacing w:after="100"/>
        <w:ind w:left="360"/>
        <w:rPr>
          <w:rFonts w:ascii="Calibri" w:hAnsi="Calibri" w:eastAsia="Calibri" w:cs="Calibri"/>
          <w:color w:val="222222"/>
          <w:sz w:val="21"/>
          <w:szCs w:val="21"/>
          <w:lang w:val="en-US"/>
        </w:rPr>
      </w:pPr>
    </w:p>
    <w:p xmlns:wp14="http://schemas.microsoft.com/office/word/2010/wordml" w14:paraId="5DAB6C7B" wp14:textId="77777777">
      <w:r>
        <w:br w:type="page"/>
      </w:r>
    </w:p>
    <w:p xmlns:wp14="http://schemas.microsoft.com/office/word/2010/wordml" w:rsidP="30A512F6" w14:paraId="2664F4B3"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Executive Summary</w:t>
      </w:r>
    </w:p>
    <w:p xmlns:wp14="http://schemas.microsoft.com/office/word/2010/wordml" w:rsidP="30A512F6" w14:paraId="41330B65" wp14:textId="568A8243">
      <w:pPr>
        <w:pStyle w:val="ListParagraph"/>
        <w:numPr>
          <w:ilvl w:val="0"/>
          <w:numId w:val="3"/>
        </w:numPr>
        <w:spacing w:before="240" w:beforeAutospacing="off" w:after="240" w:afterAutospacing="off"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Eli Lilly and Company has undergone a significant transformation in just four years, driven primarily by the rapid expansion of its GLP-1 franchise.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Mounjaro and Zepbound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serving diabetes and obesity markets went from negligible revenue in 2021 to contributing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56% of FY2025 revenue</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 or approximately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$36.5 billion of the company’s $65.2 billion total</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 This exceptional growth has supported a substantial </w:t>
      </w:r>
      <w:r w:rsidRPr="30A512F6" w:rsidR="4D02E415">
        <w:rPr>
          <w:rFonts w:ascii="Calibri" w:hAnsi="Calibri" w:eastAsia="Calibri" w:cs="Calibri"/>
          <w:b w:val="0"/>
          <w:bCs w:val="0"/>
          <w:i w:val="0"/>
          <w:iCs w:val="0"/>
          <w:caps w:val="0"/>
          <w:smallCaps w:val="0"/>
          <w:strike w:val="0"/>
          <w:dstrike w:val="0"/>
          <w:noProof w:val="0"/>
          <w:color w:val="000000"/>
          <w:sz w:val="22"/>
          <w:szCs w:val="22"/>
          <w:u w:val="none"/>
          <w:lang w:val="en-US"/>
        </w:rPr>
        <w:t>valuation of</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 re-rating with LLY trading at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roughly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32x</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 forward earnings</w:t>
      </w:r>
      <w:r w:rsidRPr="30A512F6" w:rsidR="5C383CAA">
        <w:rPr>
          <w:rFonts w:ascii="Calibri" w:hAnsi="Calibri" w:eastAsia="Calibri" w:cs="Calibri"/>
          <w:b w:val="0"/>
          <w:bCs w:val="0"/>
          <w:i w:val="0"/>
          <w:iCs w:val="0"/>
          <w:caps w:val="0"/>
          <w:smallCaps w:val="0"/>
          <w:strike w:val="0"/>
          <w:dstrike w:val="0"/>
          <w:noProof w:val="0"/>
          <w:color w:val="000000"/>
          <w:sz w:val="22"/>
          <w:szCs w:val="22"/>
          <w:u w:val="none"/>
          <w:lang w:val="en-US"/>
        </w:rPr>
        <w:t xml:space="preserve"> that is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well above the</w:t>
      </w:r>
      <w:r w:rsidRPr="30A512F6" w:rsidR="1C772AF8">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17x large-cap pharma peer median</w:t>
      </w:r>
      <w:r w:rsidRPr="30A512F6" w:rsidR="28CEAD4C">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 xml:space="preserve">and its market capitalization surpassing </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$1 trillion</w:t>
      </w:r>
      <w:r w:rsidRPr="30A512F6" w:rsidR="7360AF61">
        <w:rPr>
          <w:rFonts w:ascii="Calibri" w:hAnsi="Calibri" w:eastAsia="Calibri" w:cs="Calibri"/>
          <w:b w:val="0"/>
          <w:bCs w:val="0"/>
          <w:i w:val="0"/>
          <w:iCs w:val="0"/>
          <w:caps w:val="0"/>
          <w:smallCaps w:val="0"/>
          <w:strike w:val="0"/>
          <w:dstrike w:val="0"/>
          <w:noProof w:val="0"/>
          <w:color w:val="000000"/>
          <w:sz w:val="22"/>
          <w:szCs w:val="22"/>
          <w:u w:val="none"/>
          <w:lang w:val="en-US"/>
        </w:rPr>
        <w:t>.</w:t>
      </w:r>
    </w:p>
    <w:p xmlns:wp14="http://schemas.microsoft.com/office/word/2010/wordml" w:rsidP="30A512F6" w14:paraId="47504C2D" wp14:textId="13BE5841">
      <w:pPr>
        <w:pStyle w:val="ListParagraph"/>
        <w:numPr>
          <w:ilvl w:val="0"/>
          <w:numId w:val="3"/>
        </w:numPr>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Our valuatio</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n anchored by a </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DCF and supported by a growth-adjusted trading comparables analysis</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yields a </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blended target price of $1,063 per share</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representing</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approximately </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10% downside</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from the current share price of $1,180. Therefore, it is assigned a</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0A426E7E">
        <w:rPr>
          <w:rFonts w:ascii="Calibri" w:hAnsi="Calibri" w:eastAsia="Calibri" w:cs="Calibri"/>
          <w:b w:val="1"/>
          <w:bCs w:val="1"/>
          <w:i w:val="0"/>
          <w:iCs w:val="0"/>
          <w:caps w:val="0"/>
          <w:smallCaps w:val="0"/>
          <w:strike w:val="0"/>
          <w:dstrike w:val="0"/>
          <w:noProof w:val="0"/>
          <w:color w:val="000000"/>
          <w:sz w:val="22"/>
          <w:szCs w:val="22"/>
          <w:u w:val="none"/>
          <w:lang w:val="en-US"/>
        </w:rPr>
        <w:t>HOLD</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rating. This reflects valuation rather than a negative view of the business: Lilly’s operating performance, execution and long-term growth outlook remain </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strong,</w:t>
      </w:r>
      <w:r w:rsidRPr="30A512F6" w:rsidR="0A426E7E">
        <w:rPr>
          <w:rFonts w:ascii="Calibri" w:hAnsi="Calibri" w:eastAsia="Calibri" w:cs="Calibri"/>
          <w:b w:val="0"/>
          <w:bCs w:val="0"/>
          <w:i w:val="0"/>
          <w:iCs w:val="0"/>
          <w:caps w:val="0"/>
          <w:smallCaps w:val="0"/>
          <w:strike w:val="0"/>
          <w:dstrike w:val="0"/>
          <w:noProof w:val="0"/>
          <w:color w:val="000000"/>
          <w:sz w:val="22"/>
          <w:szCs w:val="22"/>
          <w:u w:val="none"/>
          <w:lang w:val="en-US"/>
        </w:rPr>
        <w:t xml:space="preserve"> but the current share price appears to already incorporate much of that expected success.</w:t>
      </w:r>
    </w:p>
    <w:p w:rsidR="0207CE8C" w:rsidP="30A512F6" w:rsidRDefault="0207CE8C" w14:paraId="20B07EE8" w14:textId="5569E4E8">
      <w:pPr>
        <w:pStyle w:val="ListParagraph"/>
        <w:numPr>
          <w:ilvl w:val="0"/>
          <w:numId w:val="3"/>
        </w:numPr>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The cen</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tral valuation debate is the gap between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fundamental value and headline multiples</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Our DCF, which incorporates Lilly’s stronger revenue growth and margin expansion, places the shares broadly around fair value at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roughly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2%</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from the current price</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By contrast, an unadjusted peer-multiple approach implies a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substantially greater</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downside but does not account for the significant growth differential between Lilly and its peers. With growth incorporated, Lilly’s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1.4x PEG ratio</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appears reasonable rather than excessively supporting a premium valuation.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The </w:t>
      </w:r>
      <w:r w:rsidRPr="30A512F6" w:rsidR="0207CE8C">
        <w:rPr>
          <w:rFonts w:ascii="Calibri" w:hAnsi="Calibri" w:eastAsia="Calibri" w:cs="Calibri"/>
          <w:b w:val="1"/>
          <w:bCs w:val="1"/>
          <w:i w:val="0"/>
          <w:iCs w:val="0"/>
          <w:caps w:val="0"/>
          <w:smallCaps w:val="0"/>
          <w:strike w:val="0"/>
          <w:dstrike w:val="0"/>
          <w:noProof w:val="0"/>
          <w:color w:val="000000"/>
          <w:sz w:val="22"/>
          <w:szCs w:val="22"/>
          <w:u w:val="none"/>
          <w:lang w:val="en-US"/>
        </w:rPr>
        <w:t>HOLD</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rating therefore reflects risk-adjusted valuation rather than a negative fundamental view with competitive pressure, working-capital requirements</w:t>
      </w:r>
      <w:r w:rsidRPr="30A512F6" w:rsidR="1397D836">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and uncertainty across the five-year forecast </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remaining</w:t>
      </w:r>
      <w:r w:rsidRPr="30A512F6" w:rsidR="0207CE8C">
        <w:rPr>
          <w:rFonts w:ascii="Calibri" w:hAnsi="Calibri" w:eastAsia="Calibri" w:cs="Calibri"/>
          <w:b w:val="0"/>
          <w:bCs w:val="0"/>
          <w:i w:val="0"/>
          <w:iCs w:val="0"/>
          <w:caps w:val="0"/>
          <w:smallCaps w:val="0"/>
          <w:strike w:val="0"/>
          <w:dstrike w:val="0"/>
          <w:noProof w:val="0"/>
          <w:color w:val="000000"/>
          <w:sz w:val="22"/>
          <w:szCs w:val="22"/>
          <w:u w:val="none"/>
          <w:lang w:val="en-US"/>
        </w:rPr>
        <w:t xml:space="preserve"> key considerations.</w:t>
      </w:r>
    </w:p>
    <w:p xmlns:wp14="http://schemas.microsoft.com/office/word/2010/wordml" w:rsidP="30A512F6" w14:paraId="239F956B" wp14:textId="77777777">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Key Statistics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xmlns:wp14="http://schemas.microsoft.com/office/word/2010/wordml" w:rsidTr="30A512F6" w14:paraId="3EF1F04C" wp14:textId="77777777">
        <w:trPr>
          <w:tblHeader/>
        </w:trPr>
        <w:tc>
          <w:tcPr>
            <w:tcW w:w="4200" w:type="dxa"/>
            <w:shd w:val="clear" w:color="auto" w:fill="0B2E33"/>
            <w:tcMar>
              <w:top w:w="80" w:type="dxa"/>
              <w:left w:w="100" w:type="dxa"/>
              <w:bottom w:w="80" w:type="dxa"/>
              <w:right w:w="100" w:type="dxa"/>
            </w:tcMar>
            <w:vAlign w:val="center"/>
          </w:tcPr>
          <w:p w:rsidP="30A512F6" w14:paraId="03DECD36"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Metric</w:t>
            </w:r>
          </w:p>
        </w:tc>
        <w:tc>
          <w:tcPr>
            <w:tcW w:w="5160" w:type="dxa"/>
            <w:shd w:val="clear" w:color="auto" w:fill="0B2E33"/>
            <w:tcMar>
              <w:top w:w="80" w:type="dxa"/>
              <w:left w:w="100" w:type="dxa"/>
              <w:bottom w:w="80" w:type="dxa"/>
              <w:right w:w="100" w:type="dxa"/>
            </w:tcMar>
            <w:vAlign w:val="center"/>
          </w:tcPr>
          <w:p w:rsidP="30A512F6" w14:paraId="6D3D45CB"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Value</w:t>
            </w:r>
          </w:p>
        </w:tc>
      </w:tr>
      <w:tr xmlns:wp14="http://schemas.microsoft.com/office/word/2010/wordml" w:rsidTr="30A512F6" w14:paraId="5177D1EF" wp14:textId="77777777">
        <w:tc>
          <w:tcPr>
            <w:tcW w:w="4200" w:type="dxa"/>
            <w:tcMar>
              <w:top w:w="80" w:type="dxa"/>
              <w:left w:w="100" w:type="dxa"/>
              <w:bottom w:w="80" w:type="dxa"/>
              <w:right w:w="100" w:type="dxa"/>
            </w:tcMar>
            <w:vAlign w:val="center"/>
          </w:tcPr>
          <w:p w:rsidP="30A512F6" w14:paraId="50FE8C01"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Current Price (Aug 17, 2026)</w:t>
            </w:r>
          </w:p>
        </w:tc>
        <w:tc>
          <w:tcPr>
            <w:tcW w:w="5160" w:type="dxa"/>
            <w:tcMar>
              <w:top w:w="80" w:type="dxa"/>
              <w:left w:w="100" w:type="dxa"/>
              <w:bottom w:w="80" w:type="dxa"/>
              <w:right w:w="100" w:type="dxa"/>
            </w:tcMar>
            <w:vAlign w:val="center"/>
          </w:tcPr>
          <w:p w:rsidP="30A512F6" w14:paraId="56DB56FE"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$1,180.16</w:t>
            </w:r>
          </w:p>
        </w:tc>
      </w:tr>
      <w:tr xmlns:wp14="http://schemas.microsoft.com/office/word/2010/wordml" w:rsidTr="30A512F6" w14:paraId="7BDB32DB" wp14:textId="77777777">
        <w:tc>
          <w:tcPr>
            <w:tcW w:w="4200" w:type="dxa"/>
            <w:shd w:val="clear" w:color="auto" w:fill="EAF3F3"/>
            <w:tcMar>
              <w:top w:w="80" w:type="dxa"/>
              <w:left w:w="100" w:type="dxa"/>
              <w:bottom w:w="80" w:type="dxa"/>
              <w:right w:w="100" w:type="dxa"/>
            </w:tcMar>
            <w:vAlign w:val="center"/>
          </w:tcPr>
          <w:p w:rsidP="30A512F6" w14:paraId="4B895427"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52-Week Range</w:t>
            </w:r>
          </w:p>
        </w:tc>
        <w:tc>
          <w:tcPr>
            <w:tcW w:w="5160" w:type="dxa"/>
            <w:shd w:val="clear" w:color="auto" w:fill="EAF3F3"/>
            <w:tcMar>
              <w:top w:w="80" w:type="dxa"/>
              <w:left w:w="100" w:type="dxa"/>
              <w:bottom w:w="80" w:type="dxa"/>
              <w:right w:w="100" w:type="dxa"/>
            </w:tcMar>
            <w:vAlign w:val="center"/>
          </w:tcPr>
          <w:p w:rsidP="30A512F6" w14:paraId="35929DE0"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$685.15 - $1,249.45</w:t>
            </w:r>
          </w:p>
        </w:tc>
      </w:tr>
      <w:tr xmlns:wp14="http://schemas.microsoft.com/office/word/2010/wordml" w:rsidTr="30A512F6" w14:paraId="7A28E821" wp14:textId="77777777">
        <w:tc>
          <w:tcPr>
            <w:tcW w:w="4200" w:type="dxa"/>
            <w:tcMar>
              <w:top w:w="80" w:type="dxa"/>
              <w:left w:w="100" w:type="dxa"/>
              <w:bottom w:w="80" w:type="dxa"/>
              <w:right w:w="100" w:type="dxa"/>
            </w:tcMar>
            <w:vAlign w:val="center"/>
          </w:tcPr>
          <w:p w:rsidP="30A512F6" w14:paraId="513DCF91"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Diluted Shares Outstanding</w:t>
            </w:r>
          </w:p>
        </w:tc>
        <w:tc>
          <w:tcPr>
            <w:tcW w:w="5160" w:type="dxa"/>
            <w:tcMar>
              <w:top w:w="80" w:type="dxa"/>
              <w:left w:w="100" w:type="dxa"/>
              <w:bottom w:w="80" w:type="dxa"/>
              <w:right w:w="100" w:type="dxa"/>
            </w:tcMar>
            <w:vAlign w:val="center"/>
          </w:tcPr>
          <w:p w:rsidP="30A512F6" w14:paraId="43485FFF"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891.7 million</w:t>
            </w:r>
          </w:p>
        </w:tc>
      </w:tr>
      <w:tr xmlns:wp14="http://schemas.microsoft.com/office/word/2010/wordml" w:rsidTr="30A512F6" w14:paraId="5CD4104C" wp14:textId="77777777">
        <w:tc>
          <w:tcPr>
            <w:tcW w:w="4200" w:type="dxa"/>
            <w:shd w:val="clear" w:color="auto" w:fill="EAF3F3"/>
            <w:tcMar>
              <w:top w:w="80" w:type="dxa"/>
              <w:left w:w="100" w:type="dxa"/>
              <w:bottom w:w="80" w:type="dxa"/>
              <w:right w:w="100" w:type="dxa"/>
            </w:tcMar>
            <w:vAlign w:val="center"/>
          </w:tcPr>
          <w:p w:rsidP="30A512F6" w14:paraId="3EEEF82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Market Capitalization</w:t>
            </w:r>
          </w:p>
        </w:tc>
        <w:tc>
          <w:tcPr>
            <w:tcW w:w="5160" w:type="dxa"/>
            <w:shd w:val="clear" w:color="auto" w:fill="EAF3F3"/>
            <w:tcMar>
              <w:top w:w="80" w:type="dxa"/>
              <w:left w:w="100" w:type="dxa"/>
              <w:bottom w:w="80" w:type="dxa"/>
              <w:right w:w="100" w:type="dxa"/>
            </w:tcMar>
            <w:vAlign w:val="center"/>
          </w:tcPr>
          <w:p w:rsidP="30A512F6" w14:paraId="0F6D5A61" wp14:textId="0306812D">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$1.05 trillion</w:t>
            </w:r>
          </w:p>
        </w:tc>
      </w:tr>
      <w:tr xmlns:wp14="http://schemas.microsoft.com/office/word/2010/wordml" w:rsidTr="30A512F6" w14:paraId="378B1DB7" wp14:textId="77777777">
        <w:tc>
          <w:tcPr>
            <w:tcW w:w="4200" w:type="dxa"/>
            <w:tcMar>
              <w:top w:w="80" w:type="dxa"/>
              <w:left w:w="100" w:type="dxa"/>
              <w:bottom w:w="80" w:type="dxa"/>
              <w:right w:w="100" w:type="dxa"/>
            </w:tcMar>
            <w:vAlign w:val="center"/>
          </w:tcPr>
          <w:p w:rsidP="30A512F6" w14:paraId="04054DF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FY2025A Revenue</w:t>
            </w:r>
          </w:p>
        </w:tc>
        <w:tc>
          <w:tcPr>
            <w:tcW w:w="5160" w:type="dxa"/>
            <w:tcMar>
              <w:top w:w="80" w:type="dxa"/>
              <w:left w:w="100" w:type="dxa"/>
              <w:bottom w:w="80" w:type="dxa"/>
              <w:right w:w="100" w:type="dxa"/>
            </w:tcMar>
            <w:vAlign w:val="center"/>
          </w:tcPr>
          <w:p w:rsidP="30A512F6" w14:paraId="1A9883F4"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$65.2 billion</w:t>
            </w:r>
          </w:p>
        </w:tc>
      </w:tr>
      <w:tr xmlns:wp14="http://schemas.microsoft.com/office/word/2010/wordml" w:rsidTr="30A512F6" w14:paraId="0E74E2A0" wp14:textId="77777777">
        <w:tc>
          <w:tcPr>
            <w:tcW w:w="4200" w:type="dxa"/>
            <w:shd w:val="clear" w:color="auto" w:fill="EAF3F3"/>
            <w:tcMar>
              <w:top w:w="80" w:type="dxa"/>
              <w:left w:w="100" w:type="dxa"/>
              <w:bottom w:w="80" w:type="dxa"/>
              <w:right w:w="100" w:type="dxa"/>
            </w:tcMar>
            <w:vAlign w:val="center"/>
          </w:tcPr>
          <w:p w:rsidP="30A512F6" w14:paraId="04069C1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FY2026E Revenue Guidance (company)</w:t>
            </w:r>
          </w:p>
        </w:tc>
        <w:tc>
          <w:tcPr>
            <w:tcW w:w="5160" w:type="dxa"/>
            <w:shd w:val="clear" w:color="auto" w:fill="EAF3F3"/>
            <w:tcMar>
              <w:top w:w="80" w:type="dxa"/>
              <w:left w:w="100" w:type="dxa"/>
              <w:bottom w:w="80" w:type="dxa"/>
              <w:right w:w="100" w:type="dxa"/>
            </w:tcMar>
            <w:vAlign w:val="center"/>
          </w:tcPr>
          <w:p w:rsidP="30A512F6" w14:paraId="0B24E602"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$85.0 - $87.0 billion</w:t>
            </w:r>
          </w:p>
        </w:tc>
      </w:tr>
      <w:tr xmlns:wp14="http://schemas.microsoft.com/office/word/2010/wordml" w:rsidTr="30A512F6" w14:paraId="4288EB26" wp14:textId="77777777">
        <w:tc>
          <w:tcPr>
            <w:tcW w:w="4200" w:type="dxa"/>
            <w:tcMar>
              <w:top w:w="80" w:type="dxa"/>
              <w:left w:w="100" w:type="dxa"/>
              <w:bottom w:w="80" w:type="dxa"/>
              <w:right w:w="100" w:type="dxa"/>
            </w:tcMar>
            <w:vAlign w:val="center"/>
          </w:tcPr>
          <w:p w:rsidP="30A512F6" w14:paraId="5577AB6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Forward P/E</w:t>
            </w:r>
          </w:p>
        </w:tc>
        <w:tc>
          <w:tcPr>
            <w:tcW w:w="5160" w:type="dxa"/>
            <w:tcMar>
              <w:top w:w="80" w:type="dxa"/>
              <w:left w:w="100" w:type="dxa"/>
              <w:bottom w:w="80" w:type="dxa"/>
              <w:right w:w="100" w:type="dxa"/>
            </w:tcMar>
            <w:vAlign w:val="center"/>
          </w:tcPr>
          <w:p w:rsidP="30A512F6" w14:paraId="0F569B9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32.4x</w:t>
            </w:r>
          </w:p>
        </w:tc>
      </w:tr>
      <w:tr xmlns:wp14="http://schemas.microsoft.com/office/word/2010/wordml" w:rsidTr="30A512F6" w14:paraId="6053F086" wp14:textId="77777777">
        <w:tc>
          <w:tcPr>
            <w:tcW w:w="4200" w:type="dxa"/>
            <w:shd w:val="clear" w:color="auto" w:fill="EAF3F3"/>
            <w:tcMar>
              <w:top w:w="80" w:type="dxa"/>
              <w:left w:w="100" w:type="dxa"/>
              <w:bottom w:w="80" w:type="dxa"/>
              <w:right w:w="100" w:type="dxa"/>
            </w:tcMar>
            <w:vAlign w:val="center"/>
          </w:tcPr>
          <w:p w:rsidP="30A512F6" w14:paraId="277B52FB"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Beta</w:t>
            </w:r>
          </w:p>
        </w:tc>
        <w:tc>
          <w:tcPr>
            <w:tcW w:w="5160" w:type="dxa"/>
            <w:shd w:val="clear" w:color="auto" w:fill="EAF3F3"/>
            <w:tcMar>
              <w:top w:w="80" w:type="dxa"/>
              <w:left w:w="100" w:type="dxa"/>
              <w:bottom w:w="80" w:type="dxa"/>
              <w:right w:w="100" w:type="dxa"/>
            </w:tcMar>
            <w:vAlign w:val="center"/>
          </w:tcPr>
          <w:p w:rsidP="30A512F6" w14:paraId="0B32890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0.51</w:t>
            </w:r>
          </w:p>
        </w:tc>
      </w:tr>
      <w:tr xmlns:wp14="http://schemas.microsoft.com/office/word/2010/wordml" w:rsidTr="30A512F6" w14:paraId="7456D7AB" wp14:textId="77777777">
        <w:tc>
          <w:tcPr>
            <w:tcW w:w="4200" w:type="dxa"/>
            <w:tcMar>
              <w:top w:w="80" w:type="dxa"/>
              <w:left w:w="100" w:type="dxa"/>
              <w:bottom w:w="80" w:type="dxa"/>
              <w:right w:w="100" w:type="dxa"/>
            </w:tcMar>
            <w:vAlign w:val="center"/>
          </w:tcPr>
          <w:p w:rsidP="30A512F6" w14:paraId="32E260B8"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Street Consensus Rating</w:t>
            </w:r>
          </w:p>
        </w:tc>
        <w:tc>
          <w:tcPr>
            <w:tcW w:w="5160" w:type="dxa"/>
            <w:tcMar>
              <w:top w:w="80" w:type="dxa"/>
              <w:left w:w="100" w:type="dxa"/>
              <w:bottom w:w="80" w:type="dxa"/>
              <w:right w:w="100" w:type="dxa"/>
            </w:tcMar>
            <w:vAlign w:val="center"/>
          </w:tcPr>
          <w:p w:rsidP="30A512F6" w14:paraId="3EF4451F" wp14:textId="06420040">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Buy (20-23 of 25 analysts)</w:t>
            </w:r>
          </w:p>
        </w:tc>
      </w:tr>
      <w:tr xmlns:wp14="http://schemas.microsoft.com/office/word/2010/wordml" w:rsidTr="30A512F6" w14:paraId="54884F43" wp14:textId="77777777">
        <w:tc>
          <w:tcPr>
            <w:tcW w:w="4200" w:type="dxa"/>
            <w:shd w:val="clear" w:color="auto" w:fill="EAF3F3"/>
            <w:tcMar>
              <w:top w:w="80" w:type="dxa"/>
              <w:left w:w="100" w:type="dxa"/>
              <w:bottom w:w="80" w:type="dxa"/>
              <w:right w:w="100" w:type="dxa"/>
            </w:tcMar>
            <w:vAlign w:val="center"/>
          </w:tcPr>
          <w:p w:rsidP="30A512F6" w14:paraId="2B4E418D"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Street Consensus Target</w:t>
            </w:r>
          </w:p>
        </w:tc>
        <w:tc>
          <w:tcPr>
            <w:tcW w:w="5160" w:type="dxa"/>
            <w:shd w:val="clear" w:color="auto" w:fill="EAF3F3"/>
            <w:tcMar>
              <w:top w:w="80" w:type="dxa"/>
              <w:left w:w="100" w:type="dxa"/>
              <w:bottom w:w="80" w:type="dxa"/>
              <w:right w:w="100" w:type="dxa"/>
            </w:tcMar>
            <w:vAlign w:val="center"/>
          </w:tcPr>
          <w:p w:rsidP="30A512F6" w14:paraId="097665BA" wp14:textId="5A766D85">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$1,305</w:t>
            </w:r>
          </w:p>
        </w:tc>
      </w:tr>
    </w:tbl>
    <w:p xmlns:wp14="http://schemas.microsoft.com/office/word/2010/wordml" w14:paraId="02EB378F" wp14:textId="77777777">
      <w:r>
        <w:br w:type="page"/>
      </w:r>
    </w:p>
    <w:p xmlns:wp14="http://schemas.microsoft.com/office/word/2010/wordml" w:rsidP="30A512F6" w14:paraId="5C661412"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Company Overview</w:t>
      </w:r>
    </w:p>
    <w:p w:rsidR="14EA6543" w:rsidP="30A512F6" w:rsidRDefault="14EA6543" w14:paraId="18909F71" w14:textId="014AE48A">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lang w:val="en-GB"/>
        </w:rPr>
      </w:pP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E</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li </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Lilly and Company </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established</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in </w:t>
      </w:r>
      <w:r w:rsidRPr="30A512F6" w:rsidR="14EA6543">
        <w:rPr>
          <w:rFonts w:ascii="Calibri" w:hAnsi="Calibri" w:eastAsia="Calibri" w:cs="Calibri"/>
          <w:b w:val="1"/>
          <w:bCs w:val="1"/>
          <w:i w:val="0"/>
          <w:iCs w:val="0"/>
          <w:caps w:val="0"/>
          <w:smallCaps w:val="0"/>
          <w:strike w:val="0"/>
          <w:dstrike w:val="0"/>
          <w:color w:val="000000"/>
          <w:sz w:val="22"/>
          <w:szCs w:val="22"/>
          <w:u w:val="none"/>
          <w:lang w:val="en-GB"/>
        </w:rPr>
        <w:t>1876</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and headquartered in </w:t>
      </w:r>
      <w:r w:rsidRPr="30A512F6" w:rsidR="14EA6543">
        <w:rPr>
          <w:rFonts w:ascii="Calibri" w:hAnsi="Calibri" w:eastAsia="Calibri" w:cs="Calibri"/>
          <w:b w:val="1"/>
          <w:bCs w:val="1"/>
          <w:i w:val="0"/>
          <w:iCs w:val="0"/>
          <w:caps w:val="0"/>
          <w:smallCaps w:val="0"/>
          <w:strike w:val="0"/>
          <w:dstrike w:val="0"/>
          <w:color w:val="000000"/>
          <w:sz w:val="22"/>
          <w:szCs w:val="22"/>
          <w:u w:val="none"/>
          <w:lang w:val="en-GB"/>
        </w:rPr>
        <w:t>Indianapolis; Indiana</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is a global pharmaceutical company focused on the discovery, development, </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manufacturing</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and commercialization of human medicines. Unlike many large-cap pharmaceutical companies that report across multiple operating segments, Lilly </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operates</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as a </w:t>
      </w:r>
      <w:r w:rsidRPr="30A512F6" w:rsidR="14EA6543">
        <w:rPr>
          <w:rFonts w:ascii="Calibri" w:hAnsi="Calibri" w:eastAsia="Calibri" w:cs="Calibri"/>
          <w:b w:val="1"/>
          <w:bCs w:val="1"/>
          <w:i w:val="0"/>
          <w:iCs w:val="0"/>
          <w:caps w:val="0"/>
          <w:smallCaps w:val="0"/>
          <w:strike w:val="0"/>
          <w:dstrike w:val="0"/>
          <w:color w:val="000000"/>
          <w:sz w:val="22"/>
          <w:szCs w:val="22"/>
          <w:u w:val="none"/>
          <w:lang w:val="en-GB"/>
        </w:rPr>
        <w:t>single reportable segment</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w:t>
      </w:r>
      <w:r w:rsidRPr="30A512F6" w:rsidR="0BCCCC9F">
        <w:rPr>
          <w:rFonts w:ascii="Calibri" w:hAnsi="Calibri" w:eastAsia="Calibri" w:cs="Calibri"/>
          <w:b w:val="0"/>
          <w:bCs w:val="0"/>
          <w:i w:val="0"/>
          <w:iCs w:val="0"/>
          <w:caps w:val="0"/>
          <w:smallCaps w:val="0"/>
          <w:strike w:val="0"/>
          <w:dstrike w:val="0"/>
          <w:color w:val="000000"/>
          <w:sz w:val="22"/>
          <w:szCs w:val="22"/>
          <w:u w:val="none"/>
          <w:lang w:val="en-GB"/>
        </w:rPr>
        <w:t>T</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herefore</w:t>
      </w:r>
      <w:r w:rsidRPr="30A512F6" w:rsidR="4D79DB68">
        <w:rPr>
          <w:rFonts w:ascii="Calibri" w:hAnsi="Calibri" w:eastAsia="Calibri" w:cs="Calibri"/>
          <w:b w:val="0"/>
          <w:bCs w:val="0"/>
          <w:i w:val="0"/>
          <w:iCs w:val="0"/>
          <w:caps w:val="0"/>
          <w:smallCaps w:val="0"/>
          <w:strike w:val="0"/>
          <w:dstrike w:val="0"/>
          <w:color w:val="000000"/>
          <w:sz w:val="22"/>
          <w:szCs w:val="22"/>
          <w:u w:val="none"/>
          <w:lang w:val="en-GB"/>
        </w:rPr>
        <w:t>, its business is</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more appropriately </w:t>
      </w:r>
      <w:r w:rsidRPr="30A512F6" w:rsidR="356BAC9F">
        <w:rPr>
          <w:rFonts w:ascii="Calibri" w:hAnsi="Calibri" w:eastAsia="Calibri" w:cs="Calibri"/>
          <w:b w:val="0"/>
          <w:bCs w:val="0"/>
          <w:i w:val="0"/>
          <w:iCs w:val="0"/>
          <w:caps w:val="0"/>
          <w:smallCaps w:val="0"/>
          <w:strike w:val="0"/>
          <w:dstrike w:val="0"/>
          <w:color w:val="000000"/>
          <w:sz w:val="22"/>
          <w:szCs w:val="22"/>
          <w:u w:val="none"/>
          <w:lang w:val="en-GB"/>
        </w:rPr>
        <w:t>analysed</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by </w:t>
      </w:r>
      <w:r w:rsidRPr="30A512F6" w:rsidR="14EA6543">
        <w:rPr>
          <w:rFonts w:ascii="Calibri" w:hAnsi="Calibri" w:eastAsia="Calibri" w:cs="Calibri"/>
          <w:b w:val="1"/>
          <w:bCs w:val="1"/>
          <w:i w:val="0"/>
          <w:iCs w:val="0"/>
          <w:caps w:val="0"/>
          <w:smallCaps w:val="0"/>
          <w:strike w:val="0"/>
          <w:dstrike w:val="0"/>
          <w:color w:val="000000"/>
          <w:sz w:val="22"/>
          <w:szCs w:val="22"/>
          <w:u w:val="none"/>
          <w:lang w:val="en-GB"/>
        </w:rPr>
        <w:t>therapeutic area and individual product franchise</w:t>
      </w:r>
      <w:r w:rsidRPr="30A512F6" w:rsidR="14EA6543">
        <w:rPr>
          <w:rFonts w:ascii="Calibri" w:hAnsi="Calibri" w:eastAsia="Calibri" w:cs="Calibri"/>
          <w:b w:val="0"/>
          <w:bCs w:val="0"/>
          <w:i w:val="0"/>
          <w:iCs w:val="0"/>
          <w:caps w:val="0"/>
          <w:smallCaps w:val="0"/>
          <w:strike w:val="0"/>
          <w:dstrike w:val="0"/>
          <w:color w:val="000000"/>
          <w:sz w:val="22"/>
          <w:szCs w:val="22"/>
          <w:u w:val="none"/>
          <w:lang w:val="en-GB"/>
        </w:rPr>
        <w:t xml:space="preserve"> rather than by geographic or divisional reporting lines.</w:t>
      </w:r>
    </w:p>
    <w:p xmlns:wp14="http://schemas.microsoft.com/office/word/2010/wordml" w:rsidP="30A512F6" w14:paraId="1B0EF663" wp14:textId="77777777">
      <w:pPr>
        <w:pStyle w:val="Heading2"/>
        <w:spacing w:before="240" w:after="120"/>
        <w:rPr>
          <w:rFonts w:ascii="Calibri" w:hAnsi="Calibri" w:eastAsia="Calibri" w:cs="Calibri"/>
          <w:color w:val="45126B"/>
          <w:sz w:val="24"/>
          <w:szCs w:val="24"/>
        </w:rPr>
      </w:pPr>
      <w:r w:rsidRPr="30A512F6" w:rsidR="30A512F6">
        <w:rPr>
          <w:rFonts w:ascii="Calibri" w:hAnsi="Calibri" w:eastAsia="Calibri" w:cs="Calibri"/>
          <w:color w:val="45126B"/>
          <w:sz w:val="24"/>
          <w:szCs w:val="24"/>
        </w:rPr>
        <w:t>Business Lines</w:t>
      </w:r>
    </w:p>
    <w:p xmlns:wp14="http://schemas.microsoft.com/office/word/2010/wordml" w:rsidP="30A512F6" w14:paraId="27D5E99D" wp14:textId="4C53B3F8">
      <w:pPr>
        <w:pStyle w:val="ListParagraph"/>
        <w:numPr>
          <w:ilvl w:val="0"/>
          <w:numId w:val="6"/>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63D2E6CA">
        <w:rPr>
          <w:b w:val="1"/>
          <w:bCs w:val="1"/>
          <w:i w:val="0"/>
          <w:iCs w:val="0"/>
          <w:caps w:val="0"/>
          <w:smallCaps w:val="0"/>
          <w:strike w:val="0"/>
          <w:dstrike w:val="0"/>
          <w:color w:val="000000"/>
          <w:sz w:val="22"/>
          <w:szCs w:val="22"/>
          <w:u w:val="none"/>
          <w:lang w:val="en-GB"/>
        </w:rPr>
        <w:t>C</w:t>
      </w:r>
      <w:r w:rsidRPr="30A512F6" w:rsidR="63D2E6CA">
        <w:rPr>
          <w:b w:val="1"/>
          <w:bCs w:val="1"/>
          <w:i w:val="0"/>
          <w:iCs w:val="0"/>
          <w:caps w:val="0"/>
          <w:smallCaps w:val="0"/>
          <w:strike w:val="0"/>
          <w:dstrike w:val="0"/>
          <w:color w:val="000000"/>
          <w:sz w:val="22"/>
          <w:szCs w:val="22"/>
          <w:u w:val="none"/>
          <w:lang w:val="en-GB"/>
        </w:rPr>
        <w:t xml:space="preserve">ardiometabolic </w:t>
      </w:r>
      <w:r w:rsidRPr="30A512F6" w:rsidR="63D2E6CA">
        <w:rPr>
          <w:b w:val="1"/>
          <w:bCs w:val="1"/>
          <w:i w:val="0"/>
          <w:iCs w:val="0"/>
          <w:caps w:val="0"/>
          <w:smallCaps w:val="0"/>
          <w:strike w:val="0"/>
          <w:dstrike w:val="0"/>
          <w:color w:val="000000"/>
          <w:sz w:val="22"/>
          <w:szCs w:val="22"/>
          <w:u w:val="none"/>
          <w:lang w:val="en-GB"/>
        </w:rPr>
        <w:t>Health-</w:t>
      </w:r>
      <w:r w:rsidRPr="30A512F6" w:rsidR="63D2E6CA">
        <w:rPr>
          <w:b w:val="0"/>
          <w:bCs w:val="0"/>
          <w:i w:val="0"/>
          <w:iCs w:val="0"/>
          <w:caps w:val="0"/>
          <w:smallCaps w:val="0"/>
          <w:strike w:val="0"/>
          <w:dstrike w:val="0"/>
          <w:color w:val="000000"/>
          <w:sz w:val="22"/>
          <w:szCs w:val="22"/>
          <w:u w:val="none"/>
          <w:lang w:val="en-GB"/>
        </w:rPr>
        <w:t xml:space="preserve"> Lilly’s largest and fastest-growing therapeutic area are led by </w:t>
      </w:r>
      <w:r w:rsidRPr="30A512F6" w:rsidR="63D2E6CA">
        <w:rPr>
          <w:b w:val="1"/>
          <w:bCs w:val="1"/>
          <w:i w:val="0"/>
          <w:iCs w:val="0"/>
          <w:caps w:val="0"/>
          <w:smallCaps w:val="0"/>
          <w:strike w:val="0"/>
          <w:dstrike w:val="0"/>
          <w:color w:val="000000"/>
          <w:sz w:val="22"/>
          <w:szCs w:val="22"/>
          <w:u w:val="none"/>
          <w:lang w:val="en-GB"/>
        </w:rPr>
        <w:t>Mounjaro and Zepbound (</w:t>
      </w:r>
      <w:r w:rsidRPr="30A512F6" w:rsidR="63D2E6CA">
        <w:rPr>
          <w:b w:val="0"/>
          <w:bCs w:val="0"/>
          <w:i w:val="0"/>
          <w:iCs w:val="0"/>
          <w:caps w:val="0"/>
          <w:smallCaps w:val="0"/>
          <w:strike w:val="0"/>
          <w:dstrike w:val="0"/>
          <w:color w:val="000000"/>
          <w:sz w:val="22"/>
          <w:szCs w:val="22"/>
          <w:u w:val="none"/>
          <w:lang w:val="en-GB"/>
        </w:rPr>
        <w:t xml:space="preserve">tirzepatide, a dual GIP/GLP-1 agonist). The portfolio also includes established insulin therapies such as </w:t>
      </w:r>
      <w:r w:rsidRPr="30A512F6" w:rsidR="63D2E6CA">
        <w:rPr>
          <w:b w:val="1"/>
          <w:bCs w:val="1"/>
          <w:i w:val="0"/>
          <w:iCs w:val="0"/>
          <w:caps w:val="0"/>
          <w:smallCaps w:val="0"/>
          <w:strike w:val="0"/>
          <w:dstrike w:val="0"/>
          <w:color w:val="000000"/>
          <w:sz w:val="22"/>
          <w:szCs w:val="22"/>
          <w:u w:val="none"/>
          <w:lang w:val="en-GB"/>
        </w:rPr>
        <w:t xml:space="preserve">Trulicity, Humalog and </w:t>
      </w:r>
      <w:r w:rsidRPr="30A512F6" w:rsidR="63D2E6CA">
        <w:rPr>
          <w:b w:val="1"/>
          <w:bCs w:val="1"/>
          <w:i w:val="0"/>
          <w:iCs w:val="0"/>
          <w:caps w:val="0"/>
          <w:smallCaps w:val="0"/>
          <w:strike w:val="0"/>
          <w:dstrike w:val="0"/>
          <w:color w:val="000000"/>
          <w:sz w:val="22"/>
          <w:szCs w:val="22"/>
          <w:u w:val="none"/>
          <w:lang w:val="en-GB"/>
        </w:rPr>
        <w:t>Basaglar</w:t>
      </w:r>
      <w:r w:rsidRPr="30A512F6" w:rsidR="63D2E6CA">
        <w:rPr>
          <w:b w:val="0"/>
          <w:bCs w:val="0"/>
          <w:i w:val="0"/>
          <w:iCs w:val="0"/>
          <w:caps w:val="0"/>
          <w:smallCaps w:val="0"/>
          <w:strike w:val="0"/>
          <w:dstrike w:val="0"/>
          <w:color w:val="000000"/>
          <w:sz w:val="22"/>
          <w:szCs w:val="22"/>
          <w:u w:val="none"/>
          <w:lang w:val="en-GB"/>
        </w:rPr>
        <w:t xml:space="preserve"> as well as the oral SGLT2 inhibitor </w:t>
      </w:r>
      <w:r w:rsidRPr="30A512F6" w:rsidR="63D2E6CA">
        <w:rPr>
          <w:b w:val="1"/>
          <w:bCs w:val="1"/>
          <w:i w:val="0"/>
          <w:iCs w:val="0"/>
          <w:caps w:val="0"/>
          <w:smallCaps w:val="0"/>
          <w:strike w:val="0"/>
          <w:dstrike w:val="0"/>
          <w:color w:val="000000"/>
          <w:sz w:val="22"/>
          <w:szCs w:val="22"/>
          <w:u w:val="none"/>
          <w:lang w:val="en-GB"/>
        </w:rPr>
        <w:t>Jardiance</w:t>
      </w:r>
      <w:r w:rsidRPr="30A512F6" w:rsidR="63D2E6CA">
        <w:rPr>
          <w:b w:val="0"/>
          <w:bCs w:val="0"/>
          <w:i w:val="0"/>
          <w:iCs w:val="0"/>
          <w:caps w:val="0"/>
          <w:smallCaps w:val="0"/>
          <w:strike w:val="0"/>
          <w:dstrike w:val="0"/>
          <w:color w:val="000000"/>
          <w:sz w:val="22"/>
          <w:szCs w:val="22"/>
          <w:u w:val="none"/>
          <w:lang w:val="en-GB"/>
        </w:rPr>
        <w:t>.</w:t>
      </w:r>
    </w:p>
    <w:p xmlns:wp14="http://schemas.microsoft.com/office/word/2010/wordml" w:rsidP="30A512F6" w14:paraId="51A115C6" wp14:textId="74EDD085">
      <w:pPr>
        <w:pStyle w:val="ListParagraph"/>
        <w:numPr>
          <w:ilvl w:val="0"/>
          <w:numId w:val="6"/>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63D2E6CA">
        <w:rPr>
          <w:b w:val="1"/>
          <w:bCs w:val="1"/>
          <w:i w:val="0"/>
          <w:iCs w:val="0"/>
          <w:caps w:val="0"/>
          <w:smallCaps w:val="0"/>
          <w:strike w:val="0"/>
          <w:dstrike w:val="0"/>
          <w:color w:val="000000"/>
          <w:sz w:val="22"/>
          <w:szCs w:val="22"/>
          <w:u w:val="none"/>
          <w:lang w:val="en-GB"/>
        </w:rPr>
        <w:t>Oncology</w:t>
      </w:r>
      <w:r w:rsidRPr="30A512F6" w:rsidR="7EA9F8EA">
        <w:rPr>
          <w:b w:val="1"/>
          <w:bCs w:val="1"/>
          <w:i w:val="0"/>
          <w:iCs w:val="0"/>
          <w:caps w:val="0"/>
          <w:smallCaps w:val="0"/>
          <w:strike w:val="0"/>
          <w:dstrike w:val="0"/>
          <w:color w:val="000000"/>
          <w:sz w:val="22"/>
          <w:szCs w:val="22"/>
          <w:u w:val="none"/>
          <w:lang w:val="en-GB"/>
        </w:rPr>
        <w:t xml:space="preserve">- </w:t>
      </w:r>
      <w:r w:rsidRPr="30A512F6" w:rsidR="63D2E6CA">
        <w:rPr>
          <w:b w:val="0"/>
          <w:bCs w:val="0"/>
          <w:i w:val="0"/>
          <w:iCs w:val="0"/>
          <w:caps w:val="0"/>
          <w:smallCaps w:val="0"/>
          <w:strike w:val="0"/>
          <w:dstrike w:val="0"/>
          <w:color w:val="000000"/>
          <w:sz w:val="22"/>
          <w:szCs w:val="22"/>
          <w:u w:val="none"/>
          <w:lang w:val="en-GB"/>
        </w:rPr>
        <w:t xml:space="preserve">A broad cancer portfolio comprising </w:t>
      </w:r>
      <w:r w:rsidRPr="30A512F6" w:rsidR="63D2E6CA">
        <w:rPr>
          <w:b w:val="1"/>
          <w:bCs w:val="1"/>
          <w:i w:val="0"/>
          <w:iCs w:val="0"/>
          <w:caps w:val="0"/>
          <w:smallCaps w:val="0"/>
          <w:strike w:val="0"/>
          <w:dstrike w:val="0"/>
          <w:color w:val="000000"/>
          <w:sz w:val="22"/>
          <w:szCs w:val="22"/>
          <w:u w:val="none"/>
          <w:lang w:val="en-GB"/>
        </w:rPr>
        <w:t xml:space="preserve">Verzenio, Cyramza, Erbitux, </w:t>
      </w:r>
      <w:r w:rsidRPr="30A512F6" w:rsidR="63D2E6CA">
        <w:rPr>
          <w:b w:val="1"/>
          <w:bCs w:val="1"/>
          <w:i w:val="0"/>
          <w:iCs w:val="0"/>
          <w:caps w:val="0"/>
          <w:smallCaps w:val="0"/>
          <w:strike w:val="0"/>
          <w:dstrike w:val="0"/>
          <w:color w:val="000000"/>
          <w:sz w:val="22"/>
          <w:szCs w:val="22"/>
          <w:u w:val="none"/>
          <w:lang w:val="en-GB"/>
        </w:rPr>
        <w:t>Jaypirca</w:t>
      </w:r>
      <w:r w:rsidRPr="30A512F6" w:rsidR="63D2E6CA">
        <w:rPr>
          <w:b w:val="1"/>
          <w:bCs w:val="1"/>
          <w:i w:val="0"/>
          <w:iCs w:val="0"/>
          <w:caps w:val="0"/>
          <w:smallCaps w:val="0"/>
          <w:strike w:val="0"/>
          <w:dstrike w:val="0"/>
          <w:color w:val="000000"/>
          <w:sz w:val="22"/>
          <w:szCs w:val="22"/>
          <w:u w:val="none"/>
          <w:lang w:val="en-GB"/>
        </w:rPr>
        <w:t xml:space="preserve">, </w:t>
      </w:r>
      <w:r w:rsidRPr="30A512F6" w:rsidR="63D2E6CA">
        <w:rPr>
          <w:b w:val="1"/>
          <w:bCs w:val="1"/>
          <w:i w:val="0"/>
          <w:iCs w:val="0"/>
          <w:caps w:val="0"/>
          <w:smallCaps w:val="0"/>
          <w:strike w:val="0"/>
          <w:dstrike w:val="0"/>
          <w:color w:val="000000"/>
          <w:sz w:val="22"/>
          <w:szCs w:val="22"/>
          <w:u w:val="none"/>
          <w:lang w:val="en-GB"/>
        </w:rPr>
        <w:t>R</w:t>
      </w:r>
      <w:r w:rsidRPr="30A512F6" w:rsidR="63D2E6CA">
        <w:rPr>
          <w:b w:val="1"/>
          <w:bCs w:val="1"/>
          <w:i w:val="0"/>
          <w:iCs w:val="0"/>
          <w:caps w:val="0"/>
          <w:smallCaps w:val="0"/>
          <w:strike w:val="0"/>
          <w:dstrike w:val="0"/>
          <w:color w:val="000000"/>
          <w:sz w:val="22"/>
          <w:szCs w:val="22"/>
          <w:u w:val="none"/>
          <w:lang w:val="en-GB"/>
        </w:rPr>
        <w:t>etevmo</w:t>
      </w:r>
      <w:r w:rsidRPr="30A512F6" w:rsidR="63D2E6CA">
        <w:rPr>
          <w:b w:val="0"/>
          <w:bCs w:val="0"/>
          <w:i w:val="0"/>
          <w:iCs w:val="0"/>
          <w:caps w:val="0"/>
          <w:smallCaps w:val="0"/>
          <w:strike w:val="0"/>
          <w:dstrike w:val="0"/>
          <w:color w:val="000000"/>
          <w:sz w:val="22"/>
          <w:szCs w:val="22"/>
          <w:u w:val="none"/>
          <w:lang w:val="en-GB"/>
        </w:rPr>
        <w:t xml:space="preserve"> and the newer </w:t>
      </w:r>
      <w:r w:rsidRPr="30A512F6" w:rsidR="63D2E6CA">
        <w:rPr>
          <w:b w:val="1"/>
          <w:bCs w:val="1"/>
          <w:i w:val="0"/>
          <w:iCs w:val="0"/>
          <w:caps w:val="0"/>
          <w:smallCaps w:val="0"/>
          <w:strike w:val="0"/>
          <w:dstrike w:val="0"/>
          <w:color w:val="000000"/>
          <w:sz w:val="22"/>
          <w:szCs w:val="22"/>
          <w:u w:val="none"/>
          <w:lang w:val="en-GB"/>
        </w:rPr>
        <w:t>Inluriyo</w:t>
      </w:r>
      <w:r w:rsidRPr="30A512F6" w:rsidR="63D2E6CA">
        <w:rPr>
          <w:b w:val="0"/>
          <w:bCs w:val="0"/>
          <w:i w:val="0"/>
          <w:iCs w:val="0"/>
          <w:caps w:val="0"/>
          <w:smallCaps w:val="0"/>
          <w:strike w:val="0"/>
          <w:dstrike w:val="0"/>
          <w:color w:val="000000"/>
          <w:sz w:val="22"/>
          <w:szCs w:val="22"/>
          <w:u w:val="none"/>
          <w:lang w:val="en-GB"/>
        </w:rPr>
        <w:t>.</w:t>
      </w:r>
    </w:p>
    <w:p xmlns:wp14="http://schemas.microsoft.com/office/word/2010/wordml" w:rsidP="30A512F6" w14:paraId="1DC4FD1C" wp14:textId="7C4D42D3">
      <w:pPr>
        <w:pStyle w:val="ListParagraph"/>
        <w:numPr>
          <w:ilvl w:val="0"/>
          <w:numId w:val="6"/>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63D2E6CA">
        <w:rPr>
          <w:b w:val="1"/>
          <w:bCs w:val="1"/>
          <w:i w:val="0"/>
          <w:iCs w:val="0"/>
          <w:caps w:val="0"/>
          <w:smallCaps w:val="0"/>
          <w:strike w:val="0"/>
          <w:dstrike w:val="0"/>
          <w:color w:val="000000"/>
          <w:sz w:val="22"/>
          <w:szCs w:val="22"/>
          <w:u w:val="none"/>
          <w:lang w:val="en-GB"/>
        </w:rPr>
        <w:t>Immunology</w:t>
      </w:r>
      <w:r w:rsidRPr="30A512F6" w:rsidR="1CB8632D">
        <w:rPr>
          <w:b w:val="1"/>
          <w:bCs w:val="1"/>
          <w:i w:val="0"/>
          <w:iCs w:val="0"/>
          <w:caps w:val="0"/>
          <w:smallCaps w:val="0"/>
          <w:strike w:val="0"/>
          <w:dstrike w:val="0"/>
          <w:color w:val="000000"/>
          <w:sz w:val="22"/>
          <w:szCs w:val="22"/>
          <w:u w:val="none"/>
          <w:lang w:val="en-GB"/>
        </w:rPr>
        <w:t xml:space="preserve">- </w:t>
      </w:r>
      <w:r w:rsidRPr="30A512F6" w:rsidR="63D2E6CA">
        <w:rPr>
          <w:b w:val="0"/>
          <w:bCs w:val="0"/>
          <w:i w:val="0"/>
          <w:iCs w:val="0"/>
          <w:caps w:val="0"/>
          <w:smallCaps w:val="0"/>
          <w:strike w:val="0"/>
          <w:dstrike w:val="0"/>
          <w:color w:val="000000"/>
          <w:sz w:val="22"/>
          <w:szCs w:val="22"/>
          <w:u w:val="none"/>
          <w:lang w:val="en-GB"/>
        </w:rPr>
        <w:t xml:space="preserve">Key therapies include </w:t>
      </w:r>
      <w:r w:rsidRPr="30A512F6" w:rsidR="63D2E6CA">
        <w:rPr>
          <w:b w:val="1"/>
          <w:bCs w:val="1"/>
          <w:i w:val="0"/>
          <w:iCs w:val="0"/>
          <w:caps w:val="0"/>
          <w:smallCaps w:val="0"/>
          <w:strike w:val="0"/>
          <w:dstrike w:val="0"/>
          <w:color w:val="000000"/>
          <w:sz w:val="22"/>
          <w:szCs w:val="22"/>
          <w:u w:val="none"/>
          <w:lang w:val="en-GB"/>
        </w:rPr>
        <w:t xml:space="preserve">Taltz, Olumiant, </w:t>
      </w:r>
      <w:r w:rsidRPr="30A512F6" w:rsidR="63D2E6CA">
        <w:rPr>
          <w:b w:val="1"/>
          <w:bCs w:val="1"/>
          <w:i w:val="0"/>
          <w:iCs w:val="0"/>
          <w:caps w:val="0"/>
          <w:smallCaps w:val="0"/>
          <w:strike w:val="0"/>
          <w:dstrike w:val="0"/>
          <w:color w:val="000000"/>
          <w:sz w:val="22"/>
          <w:szCs w:val="22"/>
          <w:u w:val="none"/>
          <w:lang w:val="en-GB"/>
        </w:rPr>
        <w:t>Omvoh</w:t>
      </w:r>
      <w:r w:rsidRPr="30A512F6" w:rsidR="2C93AE52">
        <w:rPr>
          <w:b w:val="1"/>
          <w:bCs w:val="1"/>
          <w:i w:val="0"/>
          <w:iCs w:val="0"/>
          <w:caps w:val="0"/>
          <w:smallCaps w:val="0"/>
          <w:strike w:val="0"/>
          <w:dstrike w:val="0"/>
          <w:color w:val="000000"/>
          <w:sz w:val="22"/>
          <w:szCs w:val="22"/>
          <w:u w:val="none"/>
          <w:lang w:val="en-GB"/>
        </w:rPr>
        <w:t xml:space="preserve"> </w:t>
      </w:r>
      <w:r w:rsidRPr="30A512F6" w:rsidR="63D2E6CA">
        <w:rPr>
          <w:b w:val="1"/>
          <w:bCs w:val="1"/>
          <w:i w:val="0"/>
          <w:iCs w:val="0"/>
          <w:caps w:val="0"/>
          <w:smallCaps w:val="0"/>
          <w:strike w:val="0"/>
          <w:dstrike w:val="0"/>
          <w:color w:val="000000"/>
          <w:sz w:val="22"/>
          <w:szCs w:val="22"/>
          <w:u w:val="none"/>
          <w:lang w:val="en-GB"/>
        </w:rPr>
        <w:t xml:space="preserve">and </w:t>
      </w:r>
      <w:r w:rsidRPr="30A512F6" w:rsidR="63D2E6CA">
        <w:rPr>
          <w:b w:val="1"/>
          <w:bCs w:val="1"/>
          <w:i w:val="0"/>
          <w:iCs w:val="0"/>
          <w:caps w:val="0"/>
          <w:smallCaps w:val="0"/>
          <w:strike w:val="0"/>
          <w:dstrike w:val="0"/>
          <w:color w:val="000000"/>
          <w:sz w:val="22"/>
          <w:szCs w:val="22"/>
          <w:u w:val="none"/>
          <w:lang w:val="en-GB"/>
        </w:rPr>
        <w:t>Ebglyss</w:t>
      </w:r>
      <w:r w:rsidRPr="30A512F6" w:rsidR="63D2E6CA">
        <w:rPr>
          <w:b w:val="0"/>
          <w:bCs w:val="0"/>
          <w:i w:val="0"/>
          <w:iCs w:val="0"/>
          <w:caps w:val="0"/>
          <w:smallCaps w:val="0"/>
          <w:strike w:val="0"/>
          <w:dstrike w:val="0"/>
          <w:color w:val="000000"/>
          <w:sz w:val="22"/>
          <w:szCs w:val="22"/>
          <w:u w:val="none"/>
          <w:lang w:val="en-GB"/>
        </w:rPr>
        <w:t xml:space="preserve"> serving a range of inflammatory and immune-mediated conditions.</w:t>
      </w:r>
    </w:p>
    <w:p xmlns:wp14="http://schemas.microsoft.com/office/word/2010/wordml" w:rsidP="30A512F6" w14:paraId="3356AC86" wp14:textId="1958034B">
      <w:pPr>
        <w:pStyle w:val="ListParagraph"/>
        <w:numPr>
          <w:ilvl w:val="0"/>
          <w:numId w:val="6"/>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63D2E6CA">
        <w:rPr>
          <w:b w:val="1"/>
          <w:bCs w:val="1"/>
          <w:i w:val="0"/>
          <w:iCs w:val="0"/>
          <w:caps w:val="0"/>
          <w:smallCaps w:val="0"/>
          <w:strike w:val="0"/>
          <w:dstrike w:val="0"/>
          <w:color w:val="000000"/>
          <w:sz w:val="22"/>
          <w:szCs w:val="22"/>
          <w:u w:val="none"/>
          <w:lang w:val="en-GB"/>
        </w:rPr>
        <w:t>Neuroscience</w:t>
      </w:r>
      <w:r w:rsidRPr="30A512F6" w:rsidR="0A6B95C1">
        <w:rPr>
          <w:b w:val="1"/>
          <w:bCs w:val="1"/>
          <w:i w:val="0"/>
          <w:iCs w:val="0"/>
          <w:caps w:val="0"/>
          <w:smallCaps w:val="0"/>
          <w:strike w:val="0"/>
          <w:dstrike w:val="0"/>
          <w:color w:val="000000"/>
          <w:sz w:val="22"/>
          <w:szCs w:val="22"/>
          <w:u w:val="none"/>
          <w:lang w:val="en-GB"/>
        </w:rPr>
        <w:t>-</w:t>
      </w:r>
      <w:r w:rsidRPr="30A512F6" w:rsidR="63D2E6CA">
        <w:rPr>
          <w:b w:val="0"/>
          <w:bCs w:val="0"/>
          <w:i w:val="0"/>
          <w:iCs w:val="0"/>
          <w:caps w:val="0"/>
          <w:smallCaps w:val="0"/>
          <w:strike w:val="0"/>
          <w:dstrike w:val="0"/>
          <w:color w:val="000000"/>
          <w:sz w:val="22"/>
          <w:szCs w:val="22"/>
          <w:u w:val="none"/>
          <w:lang w:val="en-GB"/>
        </w:rPr>
        <w:t xml:space="preserve"> Includes </w:t>
      </w:r>
      <w:r w:rsidRPr="30A512F6" w:rsidR="63D2E6CA">
        <w:rPr>
          <w:b w:val="1"/>
          <w:bCs w:val="1"/>
          <w:i w:val="0"/>
          <w:iCs w:val="0"/>
          <w:caps w:val="0"/>
          <w:smallCaps w:val="0"/>
          <w:strike w:val="0"/>
          <w:dstrike w:val="0"/>
          <w:color w:val="000000"/>
          <w:sz w:val="22"/>
          <w:szCs w:val="22"/>
          <w:u w:val="none"/>
          <w:lang w:val="en-GB"/>
        </w:rPr>
        <w:t>Emgality</w:t>
      </w:r>
      <w:r w:rsidRPr="30A512F6" w:rsidR="63D2E6CA">
        <w:rPr>
          <w:b w:val="0"/>
          <w:bCs w:val="0"/>
          <w:i w:val="0"/>
          <w:iCs w:val="0"/>
          <w:caps w:val="0"/>
          <w:smallCaps w:val="0"/>
          <w:strike w:val="0"/>
          <w:dstrike w:val="0"/>
          <w:color w:val="000000"/>
          <w:sz w:val="22"/>
          <w:szCs w:val="22"/>
          <w:u w:val="none"/>
          <w:lang w:val="en-GB"/>
        </w:rPr>
        <w:t xml:space="preserve"> and </w:t>
      </w:r>
      <w:r w:rsidRPr="30A512F6" w:rsidR="63D2E6CA">
        <w:rPr>
          <w:b w:val="1"/>
          <w:bCs w:val="1"/>
          <w:i w:val="0"/>
          <w:iCs w:val="0"/>
          <w:caps w:val="0"/>
          <w:smallCaps w:val="0"/>
          <w:strike w:val="0"/>
          <w:dstrike w:val="0"/>
          <w:color w:val="000000"/>
          <w:sz w:val="22"/>
          <w:szCs w:val="22"/>
          <w:u w:val="none"/>
          <w:lang w:val="en-GB"/>
        </w:rPr>
        <w:t>Kisunla</w:t>
      </w:r>
      <w:r w:rsidRPr="30A512F6" w:rsidR="63D2E6CA">
        <w:rPr>
          <w:b w:val="1"/>
          <w:bCs w:val="1"/>
          <w:i w:val="0"/>
          <w:iCs w:val="0"/>
          <w:caps w:val="0"/>
          <w:smallCaps w:val="0"/>
          <w:strike w:val="0"/>
          <w:dstrike w:val="0"/>
          <w:color w:val="000000"/>
          <w:sz w:val="22"/>
          <w:szCs w:val="22"/>
          <w:u w:val="none"/>
          <w:lang w:val="en-GB"/>
        </w:rPr>
        <w:t xml:space="preserve"> (donanemab)</w:t>
      </w:r>
      <w:r w:rsidRPr="30A512F6" w:rsidR="63D2E6CA">
        <w:rPr>
          <w:b w:val="0"/>
          <w:bCs w:val="0"/>
          <w:i w:val="0"/>
          <w:iCs w:val="0"/>
          <w:caps w:val="0"/>
          <w:smallCaps w:val="0"/>
          <w:strike w:val="0"/>
          <w:dstrike w:val="0"/>
          <w:color w:val="000000"/>
          <w:sz w:val="22"/>
          <w:szCs w:val="22"/>
          <w:u w:val="none"/>
          <w:lang w:val="en-GB"/>
        </w:rPr>
        <w:t>, Lilly’s treatment targeting Alzheimer’s disease.</w:t>
      </w:r>
    </w:p>
    <w:p xmlns:wp14="http://schemas.microsoft.com/office/word/2010/wordml" w:rsidP="30A512F6" w14:paraId="2A3495A6" wp14:textId="0D9445C2">
      <w:pPr>
        <w:spacing w:before="240" w:beforeAutospacing="off" w:after="240" w:afterAutospacing="off"/>
        <w:rPr>
          <w:rFonts w:ascii="Calibri" w:hAnsi="Calibri" w:eastAsia="Calibri" w:cs="Calibri"/>
          <w:color w:val="45126B"/>
          <w:sz w:val="22"/>
          <w:szCs w:val="22"/>
          <w:lang w:val="en-GB"/>
        </w:rPr>
      </w:pPr>
      <w:r w:rsidRPr="30A512F6" w:rsidR="63D2E6CA">
        <w:rPr>
          <w:b w:val="1"/>
          <w:bCs w:val="1"/>
          <w:i w:val="0"/>
          <w:iCs w:val="0"/>
          <w:caps w:val="0"/>
          <w:smallCaps w:val="0"/>
          <w:strike w:val="0"/>
          <w:dstrike w:val="0"/>
          <w:color w:val="000000"/>
          <w:sz w:val="22"/>
          <w:szCs w:val="22"/>
          <w:u w:val="none"/>
          <w:lang w:val="en-GB"/>
        </w:rPr>
        <w:t>GLP-1 franchise:</w:t>
      </w:r>
      <w:r w:rsidRPr="30A512F6" w:rsidR="63D2E6CA">
        <w:rPr>
          <w:b w:val="0"/>
          <w:bCs w:val="0"/>
          <w:i w:val="0"/>
          <w:iCs w:val="0"/>
          <w:caps w:val="0"/>
          <w:smallCaps w:val="0"/>
          <w:strike w:val="0"/>
          <w:dstrike w:val="0"/>
          <w:color w:val="000000"/>
          <w:sz w:val="22"/>
          <w:szCs w:val="22"/>
          <w:u w:val="none"/>
          <w:lang w:val="en-GB"/>
        </w:rPr>
        <w:t xml:space="preserve"> The rapid expansion of Mounjaro and Zepbound has fundamentally reshaped Lilly’s revenue profile. Mounjaro had not launched in 2021 while Zepbound was not yet on the market</w:t>
      </w:r>
      <w:r w:rsidRPr="30A512F6" w:rsidR="51CB30C4">
        <w:rPr>
          <w:b w:val="0"/>
          <w:bCs w:val="0"/>
          <w:i w:val="0"/>
          <w:iCs w:val="0"/>
          <w:caps w:val="0"/>
          <w:smallCaps w:val="0"/>
          <w:strike w:val="0"/>
          <w:dstrike w:val="0"/>
          <w:color w:val="000000"/>
          <w:sz w:val="22"/>
          <w:szCs w:val="22"/>
          <w:u w:val="none"/>
          <w:lang w:val="en-GB"/>
        </w:rPr>
        <w:t xml:space="preserve"> but </w:t>
      </w:r>
      <w:r w:rsidRPr="30A512F6" w:rsidR="63D2E6CA">
        <w:rPr>
          <w:b w:val="0"/>
          <w:bCs w:val="0"/>
          <w:i w:val="0"/>
          <w:iCs w:val="0"/>
          <w:caps w:val="0"/>
          <w:smallCaps w:val="0"/>
          <w:strike w:val="0"/>
          <w:dstrike w:val="0"/>
          <w:color w:val="000000"/>
          <w:sz w:val="22"/>
          <w:szCs w:val="22"/>
          <w:u w:val="none"/>
          <w:lang w:val="en-GB"/>
        </w:rPr>
        <w:t xml:space="preserve">by FY2025, the two products generated approximately </w:t>
      </w:r>
      <w:r w:rsidRPr="30A512F6" w:rsidR="63D2E6CA">
        <w:rPr>
          <w:b w:val="1"/>
          <w:bCs w:val="1"/>
          <w:i w:val="0"/>
          <w:iCs w:val="0"/>
          <w:caps w:val="0"/>
          <w:smallCaps w:val="0"/>
          <w:strike w:val="0"/>
          <w:dstrike w:val="0"/>
          <w:color w:val="000000"/>
          <w:sz w:val="22"/>
          <w:szCs w:val="22"/>
          <w:u w:val="none"/>
          <w:lang w:val="en-GB"/>
        </w:rPr>
        <w:t>$36.5 billion in combined revenue</w:t>
      </w:r>
      <w:r w:rsidRPr="30A512F6" w:rsidR="63D2E6CA">
        <w:rPr>
          <w:b w:val="0"/>
          <w:bCs w:val="0"/>
          <w:i w:val="0"/>
          <w:iCs w:val="0"/>
          <w:caps w:val="0"/>
          <w:smallCaps w:val="0"/>
          <w:strike w:val="0"/>
          <w:dstrike w:val="0"/>
          <w:color w:val="000000"/>
          <w:sz w:val="22"/>
          <w:szCs w:val="22"/>
          <w:u w:val="none"/>
          <w:lang w:val="en-GB"/>
        </w:rPr>
        <w:t xml:space="preserve"> exceeding Lilly’s total company-wide revenue in 2021. This franchise </w:t>
      </w:r>
      <w:r w:rsidRPr="30A512F6" w:rsidR="63D2E6CA">
        <w:rPr>
          <w:b w:val="0"/>
          <w:bCs w:val="0"/>
          <w:i w:val="0"/>
          <w:iCs w:val="0"/>
          <w:caps w:val="0"/>
          <w:smallCaps w:val="0"/>
          <w:strike w:val="0"/>
          <w:dstrike w:val="0"/>
          <w:color w:val="000000"/>
          <w:sz w:val="22"/>
          <w:szCs w:val="22"/>
          <w:u w:val="none"/>
          <w:lang w:val="en-GB"/>
        </w:rPr>
        <w:t>represents</w:t>
      </w:r>
      <w:r w:rsidRPr="30A512F6" w:rsidR="63D2E6CA">
        <w:rPr>
          <w:b w:val="0"/>
          <w:bCs w:val="0"/>
          <w:i w:val="0"/>
          <w:iCs w:val="0"/>
          <w:caps w:val="0"/>
          <w:smallCaps w:val="0"/>
          <w:strike w:val="0"/>
          <w:dstrike w:val="0"/>
          <w:color w:val="000000"/>
          <w:sz w:val="22"/>
          <w:szCs w:val="22"/>
          <w:u w:val="none"/>
          <w:lang w:val="en-GB"/>
        </w:rPr>
        <w:t xml:space="preserve"> the </w:t>
      </w:r>
      <w:r w:rsidRPr="30A512F6" w:rsidR="63D2E6CA">
        <w:rPr>
          <w:b w:val="1"/>
          <w:bCs w:val="1"/>
          <w:i w:val="0"/>
          <w:iCs w:val="0"/>
          <w:caps w:val="0"/>
          <w:smallCaps w:val="0"/>
          <w:strike w:val="0"/>
          <w:dstrike w:val="0"/>
          <w:color w:val="000000"/>
          <w:sz w:val="22"/>
          <w:szCs w:val="22"/>
          <w:u w:val="none"/>
          <w:lang w:val="en-GB"/>
        </w:rPr>
        <w:t xml:space="preserve">primary driver of the bullish investment </w:t>
      </w:r>
      <w:r w:rsidRPr="30A512F6" w:rsidR="13EB9737">
        <w:rPr>
          <w:b w:val="1"/>
          <w:bCs w:val="1"/>
          <w:i w:val="0"/>
          <w:iCs w:val="0"/>
          <w:caps w:val="0"/>
          <w:smallCaps w:val="0"/>
          <w:strike w:val="0"/>
          <w:dstrike w:val="0"/>
          <w:color w:val="000000"/>
          <w:sz w:val="22"/>
          <w:szCs w:val="22"/>
          <w:u w:val="none"/>
          <w:lang w:val="en-GB"/>
        </w:rPr>
        <w:t>thesis,</w:t>
      </w:r>
      <w:r w:rsidRPr="30A512F6" w:rsidR="63D2E6CA">
        <w:rPr>
          <w:b w:val="0"/>
          <w:bCs w:val="0"/>
          <w:i w:val="0"/>
          <w:iCs w:val="0"/>
          <w:caps w:val="0"/>
          <w:smallCaps w:val="0"/>
          <w:strike w:val="0"/>
          <w:dstrike w:val="0"/>
          <w:color w:val="000000"/>
          <w:sz w:val="22"/>
          <w:szCs w:val="22"/>
          <w:u w:val="none"/>
          <w:lang w:val="en-GB"/>
        </w:rPr>
        <w:t xml:space="preserve"> but its increasing contribution also creates meaningful </w:t>
      </w:r>
      <w:r w:rsidRPr="30A512F6" w:rsidR="63D2E6CA">
        <w:rPr>
          <w:b w:val="1"/>
          <w:bCs w:val="1"/>
          <w:i w:val="0"/>
          <w:iCs w:val="0"/>
          <w:caps w:val="0"/>
          <w:smallCaps w:val="0"/>
          <w:strike w:val="0"/>
          <w:dstrike w:val="0"/>
          <w:color w:val="000000"/>
          <w:sz w:val="22"/>
          <w:szCs w:val="22"/>
          <w:u w:val="none"/>
          <w:lang w:val="en-GB"/>
        </w:rPr>
        <w:t>product and franchise concentration risk</w:t>
      </w:r>
      <w:r w:rsidRPr="30A512F6" w:rsidR="63D2E6CA">
        <w:rPr>
          <w:b w:val="0"/>
          <w:bCs w:val="0"/>
          <w:i w:val="0"/>
          <w:iCs w:val="0"/>
          <w:caps w:val="0"/>
          <w:smallCaps w:val="0"/>
          <w:strike w:val="0"/>
          <w:dstrike w:val="0"/>
          <w:color w:val="000000"/>
          <w:sz w:val="22"/>
          <w:szCs w:val="22"/>
          <w:u w:val="none"/>
          <w:lang w:val="en-GB"/>
        </w:rPr>
        <w:t>.</w:t>
      </w:r>
      <w:r w:rsidRPr="30A512F6" w:rsidR="63D2E6CA">
        <w:rPr>
          <w:rFonts w:ascii="Calibri" w:hAnsi="Calibri" w:eastAsia="Calibri" w:cs="Calibri"/>
          <w:color w:val="45126B"/>
          <w:sz w:val="22"/>
          <w:szCs w:val="22"/>
          <w:lang w:val="en-GB"/>
        </w:rPr>
        <w:t xml:space="preserve"> </w:t>
      </w:r>
    </w:p>
    <w:p xmlns:wp14="http://schemas.microsoft.com/office/word/2010/wordml" w:rsidP="30A512F6" w14:paraId="296CD1A5" wp14:textId="7A2D51B0">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Industry &amp; Competitive Landscape</w:t>
      </w:r>
    </w:p>
    <w:p xmlns:wp14="http://schemas.microsoft.com/office/word/2010/wordml" w:rsidP="30A512F6" w14:paraId="18C13218" wp14:textId="0760277D">
      <w:pPr>
        <w:pStyle w:val="Normal"/>
        <w:spacing w:after="160" w:line="276" w:lineRule="auto"/>
        <w:jc w:val="both"/>
        <w:rPr>
          <w:rFonts w:ascii="Calibri" w:hAnsi="Calibri" w:eastAsia="Calibri" w:cs="Calibri"/>
          <w:b w:val="1"/>
          <w:bCs w:val="1"/>
          <w:i w:val="0"/>
          <w:iCs w:val="0"/>
          <w:caps w:val="0"/>
          <w:smallCaps w:val="0"/>
          <w:strike w:val="0"/>
          <w:dstrike w:val="0"/>
          <w:noProof w:val="0"/>
          <w:color w:val="000000"/>
          <w:sz w:val="22"/>
          <w:szCs w:val="22"/>
          <w:u w:val="none"/>
          <w:lang w:val="en-US"/>
        </w:rPr>
      </w:pP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Lilly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operates</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within the highly competitive global pharmaceutical market with its most important competitive battleground currently being the GLP-1/incretin market for diabetes and obesity treatments. Its primary rival is Novo Nordisk, the long-standing market leader behind Ozempic and Wegovy. In 2026, Novo has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encountered</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greater competitive pressure including pricing headwinds, pipeline </w:t>
      </w:r>
      <w:r w:rsidRPr="30A512F6" w:rsidR="2FC7D91D">
        <w:rPr>
          <w:rFonts w:ascii="Calibri" w:hAnsi="Calibri" w:eastAsia="Calibri" w:cs="Calibri"/>
          <w:b w:val="0"/>
          <w:bCs w:val="0"/>
          <w:i w:val="0"/>
          <w:iCs w:val="0"/>
          <w:caps w:val="0"/>
          <w:smallCaps w:val="0"/>
          <w:strike w:val="0"/>
          <w:dstrike w:val="0"/>
          <w:noProof w:val="0"/>
          <w:color w:val="000000"/>
          <w:sz w:val="22"/>
          <w:szCs w:val="22"/>
          <w:u w:val="none"/>
          <w:lang w:val="en-US"/>
        </w:rPr>
        <w:t>challenges,</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and market-share losses to Lilly’s tirzepatide-based therapies. At the same time,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Novo’s</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newly launched oral GLP-1 treatment has quickly gained traction in the U.S. capturing many new prescriptions within its category following its January 2026 launch. The competitive landscape highlights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an important point</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for the investment thesis: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the overall GLP-1 market continues to expand </w:t>
      </w:r>
      <w:r w:rsidRPr="30A512F6" w:rsidR="2F0F78A4">
        <w:rPr>
          <w:rFonts w:ascii="Calibri" w:hAnsi="Calibri" w:eastAsia="Calibri" w:cs="Calibri"/>
          <w:b w:val="1"/>
          <w:bCs w:val="1"/>
          <w:i w:val="0"/>
          <w:iCs w:val="0"/>
          <w:caps w:val="0"/>
          <w:smallCaps w:val="0"/>
          <w:strike w:val="0"/>
          <w:dstrike w:val="0"/>
          <w:noProof w:val="0"/>
          <w:color w:val="000000"/>
          <w:sz w:val="22"/>
          <w:szCs w:val="22"/>
          <w:u w:val="none"/>
          <w:lang w:val="en-US"/>
        </w:rPr>
        <w:t>rapidly,</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 but market share is actively contested and can shift meaningfully between competitors.</w:t>
      </w:r>
    </w:p>
    <w:p xmlns:wp14="http://schemas.microsoft.com/office/word/2010/wordml" w:rsidP="30A512F6" w14:paraId="6EE8B850" wp14:textId="56F54B1F">
      <w:pPr>
        <w:spacing w:before="240" w:beforeAutospacing="off" w:after="240" w:afterAutospacing="off"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Beyond Novo Nordisk, Lilly competes with a broader group of diversified large-cap pharmaceutical companies including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Pfizer,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Merck</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 and AbbVie</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While these peers may not compete directly with Lilly across individual products, they are </w:t>
      </w:r>
      <w:bookmarkStart w:name="_Int_uGp7Zzni" w:id="708300953"/>
      <w:r w:rsidRPr="30A512F6" w:rsidR="5E742195">
        <w:rPr>
          <w:rFonts w:ascii="Calibri" w:hAnsi="Calibri" w:eastAsia="Calibri" w:cs="Calibri"/>
          <w:b w:val="0"/>
          <w:bCs w:val="0"/>
          <w:i w:val="0"/>
          <w:iCs w:val="0"/>
          <w:caps w:val="0"/>
          <w:smallCaps w:val="0"/>
          <w:strike w:val="0"/>
          <w:dstrike w:val="0"/>
          <w:noProof w:val="0"/>
          <w:color w:val="000000"/>
          <w:sz w:val="22"/>
          <w:szCs w:val="22"/>
          <w:u w:val="none"/>
          <w:lang w:val="en-US"/>
        </w:rPr>
        <w:t>relevant</w:t>
      </w:r>
      <w:bookmarkEnd w:id="708300953"/>
      <w:r w:rsidRPr="30A512F6" w:rsidR="5E742195">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benchmarks for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R&amp;D productivity, capital allocation, pipeline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strength</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 and overall portfolio quality</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These broader pharmaceutical peers also form the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peer group used in the trading comparables analysis</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in this report.</w:t>
      </w:r>
    </w:p>
    <w:p w:rsidR="1D3CE5CD" w:rsidP="30A512F6" w:rsidRDefault="1D3CE5CD" w14:paraId="1860A88B" w14:textId="78C0F12B">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A defining characteristic of the pharmaceutical industry is the recurring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patent-cliff cycle</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 xml:space="preserve"> as major products eventually lose exclusivity and face generic or biosimilar competition. Lilly is already experiencing this transition across older products such as </w:t>
      </w:r>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 xml:space="preserve">Trulicity and </w:t>
      </w:r>
      <w:bookmarkStart w:name="_Int_3V9yGac7" w:id="401357773"/>
      <w:r w:rsidRPr="30A512F6" w:rsidR="1D3CE5CD">
        <w:rPr>
          <w:rFonts w:ascii="Calibri" w:hAnsi="Calibri" w:eastAsia="Calibri" w:cs="Calibri"/>
          <w:b w:val="1"/>
          <w:bCs w:val="1"/>
          <w:i w:val="0"/>
          <w:iCs w:val="0"/>
          <w:caps w:val="0"/>
          <w:smallCaps w:val="0"/>
          <w:strike w:val="0"/>
          <w:dstrike w:val="0"/>
          <w:noProof w:val="0"/>
          <w:color w:val="000000"/>
          <w:sz w:val="22"/>
          <w:szCs w:val="22"/>
          <w:u w:val="none"/>
          <w:lang w:val="en-US"/>
        </w:rPr>
        <w:t>Humalog</w:t>
      </w:r>
      <w:bookmarkEnd w:id="401357773"/>
      <w:r w:rsidRPr="30A512F6" w:rsidR="55F7802B">
        <w:rPr>
          <w:rFonts w:ascii="Calibri" w:hAnsi="Calibri" w:eastAsia="Calibri" w:cs="Calibri"/>
          <w:b w:val="1"/>
          <w:bCs w:val="1"/>
          <w:i w:val="0"/>
          <w:iCs w:val="0"/>
          <w:caps w:val="0"/>
          <w:smallCaps w:val="0"/>
          <w:strike w:val="0"/>
          <w:dstrike w:val="0"/>
          <w:noProof w:val="0"/>
          <w:color w:val="000000"/>
          <w:sz w:val="22"/>
          <w:szCs w:val="22"/>
          <w:u w:val="none"/>
          <w:lang w:val="en-US"/>
        </w:rPr>
        <w:t xml:space="preserve"> </w:t>
      </w:r>
      <w:r w:rsidRPr="30A512F6" w:rsidR="1D3CE5CD">
        <w:rPr>
          <w:rFonts w:ascii="Calibri" w:hAnsi="Calibri" w:eastAsia="Calibri" w:cs="Calibri"/>
          <w:b w:val="0"/>
          <w:bCs w:val="0"/>
          <w:i w:val="0"/>
          <w:iCs w:val="0"/>
          <w:caps w:val="0"/>
          <w:smallCaps w:val="0"/>
          <w:strike w:val="0"/>
          <w:dstrike w:val="0"/>
          <w:noProof w:val="0"/>
          <w:color w:val="000000"/>
          <w:sz w:val="22"/>
          <w:szCs w:val="22"/>
          <w:u w:val="none"/>
          <w:lang w:val="en-US"/>
        </w:rPr>
        <w:t>which have moved beyond their peak growth periods and are gradually declining as newer therapies gain share. This shift in the product portfolio is an important theme in the company’s broader financial outlook.</w:t>
      </w:r>
    </w:p>
    <w:p xmlns:wp14="http://schemas.microsoft.com/office/word/2010/wordml" w14:paraId="6A05A809" wp14:textId="77777777">
      <w:r>
        <w:br w:type="page"/>
      </w:r>
    </w:p>
    <w:p xmlns:wp14="http://schemas.microsoft.com/office/word/2010/wordml" w:rsidP="30A512F6" w14:paraId="0F410A7C"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Financial Analysis</w:t>
      </w:r>
    </w:p>
    <w:p xmlns:wp14="http://schemas.microsoft.com/office/word/2010/wordml" w:rsidP="30A512F6" w14:paraId="454325D3" wp14:textId="61DEE5BC">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Historical Performance</w:t>
      </w:r>
      <w:r w:rsidRPr="30A512F6" w:rsidR="4F99E8E3">
        <w:rPr>
          <w:rFonts w:ascii="Calibri" w:hAnsi="Calibri" w:eastAsia="Calibri" w:cs="Calibri"/>
          <w:color w:val="45126B"/>
        </w:rPr>
        <w:t xml:space="preserve"> (</w:t>
      </w:r>
      <w:r w:rsidRPr="30A512F6" w:rsidR="30A512F6">
        <w:rPr>
          <w:rFonts w:ascii="Calibri" w:hAnsi="Calibri" w:eastAsia="Calibri" w:cs="Calibri"/>
          <w:color w:val="45126B"/>
        </w:rPr>
        <w:t>FY2021A-FY2025A</w:t>
      </w:r>
      <w:r w:rsidRPr="30A512F6" w:rsidR="1BADAD41">
        <w:rPr>
          <w:rFonts w:ascii="Calibri" w:hAnsi="Calibri" w:eastAsia="Calibri" w:cs="Calibri"/>
          <w:color w:val="45126B"/>
        </w:rPr>
        <w:t>)</w:t>
      </w:r>
    </w:p>
    <w:p xmlns:wp14="http://schemas.microsoft.com/office/word/2010/wordml" w:rsidP="30A512F6" w14:paraId="0FF05C5F" wp14:textId="663B5BC5">
      <w:pPr>
        <w:pStyle w:val="Normal"/>
        <w:spacing w:after="160" w:line="276" w:lineRule="auto"/>
        <w:jc w:val="both"/>
      </w:pP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Lilly’s financial performance underwent a significant inflection beginning in </w:t>
      </w:r>
      <w:r w:rsidRPr="30A512F6" w:rsidR="3CCDF8A6">
        <w:rPr>
          <w:rFonts w:ascii="Calibri" w:hAnsi="Calibri" w:eastAsia="Calibri" w:cs="Calibri"/>
          <w:b w:val="1"/>
          <w:bCs w:val="1"/>
          <w:i w:val="0"/>
          <w:iCs w:val="0"/>
          <w:caps w:val="0"/>
          <w:smallCaps w:val="0"/>
          <w:strike w:val="0"/>
          <w:dstrike w:val="0"/>
          <w:color w:val="000000"/>
          <w:sz w:val="22"/>
          <w:szCs w:val="22"/>
          <w:u w:val="none"/>
          <w:lang w:val="en-GB"/>
        </w:rPr>
        <w:t>FY2023</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driven by the rapid ramp-up of Mounjaro and the </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subsequent</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launch of Zepbound. Revenue growth moved from </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essentially flat</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levels in FY2021-FY2022 to </w:t>
      </w:r>
      <w:r w:rsidRPr="30A512F6" w:rsidR="3CCDF8A6">
        <w:rPr>
          <w:rFonts w:ascii="Calibri" w:hAnsi="Calibri" w:eastAsia="Calibri" w:cs="Calibri"/>
          <w:b w:val="1"/>
          <w:bCs w:val="1"/>
          <w:i w:val="0"/>
          <w:iCs w:val="0"/>
          <w:caps w:val="0"/>
          <w:smallCaps w:val="0"/>
          <w:strike w:val="0"/>
          <w:dstrike w:val="0"/>
          <w:color w:val="000000"/>
          <w:sz w:val="22"/>
          <w:szCs w:val="22"/>
          <w:u w:val="none"/>
          <w:lang w:val="en-GB"/>
        </w:rPr>
        <w:t>44.7% in FY2025</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while operating margin increased from </w:t>
      </w:r>
      <w:r w:rsidRPr="30A512F6" w:rsidR="3CCDF8A6">
        <w:rPr>
          <w:rFonts w:ascii="Calibri" w:hAnsi="Calibri" w:eastAsia="Calibri" w:cs="Calibri"/>
          <w:b w:val="1"/>
          <w:bCs w:val="1"/>
          <w:i w:val="0"/>
          <w:iCs w:val="0"/>
          <w:caps w:val="0"/>
          <w:smallCaps w:val="0"/>
          <w:strike w:val="0"/>
          <w:dstrike w:val="0"/>
          <w:color w:val="000000"/>
          <w:sz w:val="22"/>
          <w:szCs w:val="22"/>
          <w:u w:val="none"/>
          <w:lang w:val="en-GB"/>
        </w:rPr>
        <w:t>22.4% to 40.3%</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The combination of accelerating revenue and expanding margins points to </w:t>
      </w:r>
      <w:r w:rsidRPr="30A512F6" w:rsidR="3CCDF8A6">
        <w:rPr>
          <w:rFonts w:ascii="Calibri" w:hAnsi="Calibri" w:eastAsia="Calibri" w:cs="Calibri"/>
          <w:b w:val="1"/>
          <w:bCs w:val="1"/>
          <w:i w:val="0"/>
          <w:iCs w:val="0"/>
          <w:caps w:val="0"/>
          <w:smallCaps w:val="0"/>
          <w:strike w:val="0"/>
          <w:dstrike w:val="0"/>
          <w:color w:val="000000"/>
          <w:sz w:val="22"/>
          <w:szCs w:val="22"/>
          <w:u w:val="none"/>
          <w:lang w:val="en-GB"/>
        </w:rPr>
        <w:t>meaningful operating leverage</w:t>
      </w:r>
      <w:r w:rsidRPr="30A512F6" w:rsidR="3CCDF8A6">
        <w:rPr>
          <w:rFonts w:ascii="Calibri" w:hAnsi="Calibri" w:eastAsia="Calibri" w:cs="Calibri"/>
          <w:b w:val="0"/>
          <w:bCs w:val="0"/>
          <w:i w:val="0"/>
          <w:iCs w:val="0"/>
          <w:caps w:val="0"/>
          <w:smallCaps w:val="0"/>
          <w:strike w:val="0"/>
          <w:dstrike w:val="0"/>
          <w:color w:val="000000"/>
          <w:sz w:val="22"/>
          <w:szCs w:val="22"/>
          <w:u w:val="none"/>
          <w:lang w:val="en-GB"/>
        </w:rPr>
        <w:t xml:space="preserve"> rather than growth being driven solely by higher sales.</w:t>
      </w:r>
    </w:p>
    <w:p w:rsidR="30A512F6" w:rsidP="30A512F6" w:rsidRDefault="30A512F6" w14:paraId="281E23F4" w14:textId="66769FED">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lang w:val="en-GB"/>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xmlns:wp14="http://schemas.microsoft.com/office/word/2010/wordml" w:rsidTr="30A512F6" w14:paraId="0A8846A8" wp14:textId="77777777">
        <w:trPr>
          <w:tblHeader/>
        </w:trPr>
        <w:tc>
          <w:tcPr>
            <w:tcW w:w="2760" w:type="dxa"/>
            <w:shd w:val="clear" w:color="auto" w:fill="0B2E33"/>
            <w:tcMar>
              <w:top w:w="80" w:type="dxa"/>
              <w:left w:w="100" w:type="dxa"/>
              <w:bottom w:w="80" w:type="dxa"/>
              <w:right w:w="100" w:type="dxa"/>
            </w:tcMar>
            <w:vAlign w:val="center"/>
          </w:tcPr>
          <w:p w:rsidP="30A512F6" w14:paraId="4A506FE1"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($M except per share)</w:t>
            </w:r>
          </w:p>
        </w:tc>
        <w:tc>
          <w:tcPr>
            <w:tcW w:w="1320" w:type="dxa"/>
            <w:shd w:val="clear" w:color="auto" w:fill="0B2E33"/>
            <w:tcMar>
              <w:top w:w="80" w:type="dxa"/>
              <w:left w:w="100" w:type="dxa"/>
              <w:bottom w:w="80" w:type="dxa"/>
              <w:right w:w="100" w:type="dxa"/>
            </w:tcMar>
            <w:vAlign w:val="center"/>
          </w:tcPr>
          <w:p w:rsidP="30A512F6" w14:paraId="2CC0ADDA"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FY2021A</w:t>
            </w:r>
          </w:p>
        </w:tc>
        <w:tc>
          <w:tcPr>
            <w:tcW w:w="1320" w:type="dxa"/>
            <w:shd w:val="clear" w:color="auto" w:fill="0B2E33"/>
            <w:tcMar>
              <w:top w:w="80" w:type="dxa"/>
              <w:left w:w="100" w:type="dxa"/>
              <w:bottom w:w="80" w:type="dxa"/>
              <w:right w:w="100" w:type="dxa"/>
            </w:tcMar>
            <w:vAlign w:val="center"/>
          </w:tcPr>
          <w:p w:rsidP="30A512F6" w14:paraId="356301BF"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FY2022A</w:t>
            </w:r>
          </w:p>
        </w:tc>
        <w:tc>
          <w:tcPr>
            <w:tcW w:w="1320" w:type="dxa"/>
            <w:shd w:val="clear" w:color="auto" w:fill="0B2E33"/>
            <w:tcMar>
              <w:top w:w="80" w:type="dxa"/>
              <w:left w:w="100" w:type="dxa"/>
              <w:bottom w:w="80" w:type="dxa"/>
              <w:right w:w="100" w:type="dxa"/>
            </w:tcMar>
            <w:vAlign w:val="center"/>
          </w:tcPr>
          <w:p w:rsidP="30A512F6" w14:paraId="03EA231C"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FY2023A</w:t>
            </w:r>
          </w:p>
        </w:tc>
        <w:tc>
          <w:tcPr>
            <w:tcW w:w="1320" w:type="dxa"/>
            <w:shd w:val="clear" w:color="auto" w:fill="0B2E33"/>
            <w:tcMar>
              <w:top w:w="80" w:type="dxa"/>
              <w:left w:w="100" w:type="dxa"/>
              <w:bottom w:w="80" w:type="dxa"/>
              <w:right w:w="100" w:type="dxa"/>
            </w:tcMar>
            <w:vAlign w:val="center"/>
          </w:tcPr>
          <w:p w:rsidP="30A512F6" w14:paraId="59CB4547"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FY2024A</w:t>
            </w:r>
          </w:p>
        </w:tc>
        <w:tc>
          <w:tcPr>
            <w:tcW w:w="1320" w:type="dxa"/>
            <w:shd w:val="clear" w:color="auto" w:fill="0B2E33"/>
            <w:tcMar>
              <w:top w:w="80" w:type="dxa"/>
              <w:left w:w="100" w:type="dxa"/>
              <w:bottom w:w="80" w:type="dxa"/>
              <w:right w:w="100" w:type="dxa"/>
            </w:tcMar>
            <w:vAlign w:val="center"/>
          </w:tcPr>
          <w:p w:rsidP="30A512F6" w14:paraId="77F8765A"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FY2025A</w:t>
            </w:r>
          </w:p>
        </w:tc>
      </w:tr>
      <w:tr xmlns:wp14="http://schemas.microsoft.com/office/word/2010/wordml" w:rsidTr="30A512F6" w14:paraId="56C10DAB" wp14:textId="77777777">
        <w:tc>
          <w:tcPr>
            <w:tcW w:w="2760" w:type="dxa"/>
            <w:tcMar>
              <w:top w:w="80" w:type="dxa"/>
              <w:left w:w="100" w:type="dxa"/>
              <w:bottom w:w="80" w:type="dxa"/>
              <w:right w:w="100" w:type="dxa"/>
            </w:tcMar>
            <w:vAlign w:val="center"/>
          </w:tcPr>
          <w:p w:rsidP="30A512F6" w14:paraId="2E00F07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Total Revenue</w:t>
            </w:r>
          </w:p>
        </w:tc>
        <w:tc>
          <w:tcPr>
            <w:tcW w:w="1320" w:type="dxa"/>
            <w:tcMar>
              <w:top w:w="80" w:type="dxa"/>
              <w:left w:w="100" w:type="dxa"/>
              <w:bottom w:w="80" w:type="dxa"/>
              <w:right w:w="100" w:type="dxa"/>
            </w:tcMar>
            <w:vAlign w:val="center"/>
          </w:tcPr>
          <w:p w:rsidP="30A512F6" w14:paraId="54C90E8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28,318</w:t>
            </w:r>
          </w:p>
        </w:tc>
        <w:tc>
          <w:tcPr>
            <w:tcW w:w="1320" w:type="dxa"/>
            <w:tcMar>
              <w:top w:w="80" w:type="dxa"/>
              <w:left w:w="100" w:type="dxa"/>
              <w:bottom w:w="80" w:type="dxa"/>
              <w:right w:w="100" w:type="dxa"/>
            </w:tcMar>
            <w:vAlign w:val="center"/>
          </w:tcPr>
          <w:p w:rsidP="30A512F6" w14:paraId="1880D85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28,541</w:t>
            </w:r>
          </w:p>
        </w:tc>
        <w:tc>
          <w:tcPr>
            <w:tcW w:w="1320" w:type="dxa"/>
            <w:tcMar>
              <w:top w:w="80" w:type="dxa"/>
              <w:left w:w="100" w:type="dxa"/>
              <w:bottom w:w="80" w:type="dxa"/>
              <w:right w:w="100" w:type="dxa"/>
            </w:tcMar>
            <w:vAlign w:val="center"/>
          </w:tcPr>
          <w:p w:rsidP="30A512F6" w14:paraId="6569CB7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34,124</w:t>
            </w:r>
          </w:p>
        </w:tc>
        <w:tc>
          <w:tcPr>
            <w:tcW w:w="1320" w:type="dxa"/>
            <w:tcMar>
              <w:top w:w="80" w:type="dxa"/>
              <w:left w:w="100" w:type="dxa"/>
              <w:bottom w:w="80" w:type="dxa"/>
              <w:right w:w="100" w:type="dxa"/>
            </w:tcMar>
            <w:vAlign w:val="center"/>
          </w:tcPr>
          <w:p w:rsidP="30A512F6" w14:paraId="2C457191"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45,043</w:t>
            </w:r>
          </w:p>
        </w:tc>
        <w:tc>
          <w:tcPr>
            <w:tcW w:w="1320" w:type="dxa"/>
            <w:tcMar>
              <w:top w:w="80" w:type="dxa"/>
              <w:left w:w="100" w:type="dxa"/>
              <w:bottom w:w="80" w:type="dxa"/>
              <w:right w:w="100" w:type="dxa"/>
            </w:tcMar>
            <w:vAlign w:val="center"/>
          </w:tcPr>
          <w:p w:rsidP="30A512F6" w14:paraId="40E8D15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65,179</w:t>
            </w:r>
          </w:p>
        </w:tc>
      </w:tr>
      <w:tr xmlns:wp14="http://schemas.microsoft.com/office/word/2010/wordml" w:rsidTr="30A512F6" w14:paraId="25A2CAD4" wp14:textId="77777777">
        <w:tc>
          <w:tcPr>
            <w:tcW w:w="2760" w:type="dxa"/>
            <w:shd w:val="clear" w:color="auto" w:fill="EAF3F3"/>
            <w:tcMar>
              <w:top w:w="80" w:type="dxa"/>
              <w:left w:w="100" w:type="dxa"/>
              <w:bottom w:w="80" w:type="dxa"/>
              <w:right w:w="100" w:type="dxa"/>
            </w:tcMar>
            <w:vAlign w:val="center"/>
          </w:tcPr>
          <w:p w:rsidP="30A512F6" w14:paraId="78A3BCD8"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Revenue Growth %</w:t>
            </w:r>
          </w:p>
        </w:tc>
        <w:tc>
          <w:tcPr>
            <w:tcW w:w="1320" w:type="dxa"/>
            <w:shd w:val="clear" w:color="auto" w:fill="EAF3F3"/>
            <w:tcMar>
              <w:top w:w="80" w:type="dxa"/>
              <w:left w:w="100" w:type="dxa"/>
              <w:bottom w:w="80" w:type="dxa"/>
              <w:right w:w="100" w:type="dxa"/>
            </w:tcMar>
            <w:vAlign w:val="center"/>
          </w:tcPr>
          <w:p w:rsidP="30A512F6" w14:paraId="2D366E0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w:t>
            </w:r>
          </w:p>
        </w:tc>
        <w:tc>
          <w:tcPr>
            <w:tcW w:w="1320" w:type="dxa"/>
            <w:shd w:val="clear" w:color="auto" w:fill="EAF3F3"/>
            <w:tcMar>
              <w:top w:w="80" w:type="dxa"/>
              <w:left w:w="100" w:type="dxa"/>
              <w:bottom w:w="80" w:type="dxa"/>
              <w:right w:w="100" w:type="dxa"/>
            </w:tcMar>
            <w:vAlign w:val="center"/>
          </w:tcPr>
          <w:p w:rsidP="30A512F6" w14:paraId="5389DEB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0.8%</w:t>
            </w:r>
          </w:p>
        </w:tc>
        <w:tc>
          <w:tcPr>
            <w:tcW w:w="1320" w:type="dxa"/>
            <w:shd w:val="clear" w:color="auto" w:fill="EAF3F3"/>
            <w:tcMar>
              <w:top w:w="80" w:type="dxa"/>
              <w:left w:w="100" w:type="dxa"/>
              <w:bottom w:w="80" w:type="dxa"/>
              <w:right w:w="100" w:type="dxa"/>
            </w:tcMar>
            <w:vAlign w:val="center"/>
          </w:tcPr>
          <w:p w:rsidP="30A512F6" w14:paraId="65C94CF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19.6%</w:t>
            </w:r>
          </w:p>
        </w:tc>
        <w:tc>
          <w:tcPr>
            <w:tcW w:w="1320" w:type="dxa"/>
            <w:shd w:val="clear" w:color="auto" w:fill="EAF3F3"/>
            <w:tcMar>
              <w:top w:w="80" w:type="dxa"/>
              <w:left w:w="100" w:type="dxa"/>
              <w:bottom w:w="80" w:type="dxa"/>
              <w:right w:w="100" w:type="dxa"/>
            </w:tcMar>
            <w:vAlign w:val="center"/>
          </w:tcPr>
          <w:p w:rsidP="30A512F6" w14:paraId="3AD54AB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32.0%</w:t>
            </w:r>
          </w:p>
        </w:tc>
        <w:tc>
          <w:tcPr>
            <w:tcW w:w="1320" w:type="dxa"/>
            <w:shd w:val="clear" w:color="auto" w:fill="EAF3F3"/>
            <w:tcMar>
              <w:top w:w="80" w:type="dxa"/>
              <w:left w:w="100" w:type="dxa"/>
              <w:bottom w:w="80" w:type="dxa"/>
              <w:right w:w="100" w:type="dxa"/>
            </w:tcMar>
            <w:vAlign w:val="center"/>
          </w:tcPr>
          <w:p w:rsidP="30A512F6" w14:paraId="2F26D7BC"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44.7%</w:t>
            </w:r>
          </w:p>
        </w:tc>
      </w:tr>
      <w:tr xmlns:wp14="http://schemas.microsoft.com/office/word/2010/wordml" w:rsidTr="30A512F6" w14:paraId="5333A580" wp14:textId="77777777">
        <w:tc>
          <w:tcPr>
            <w:tcW w:w="2760" w:type="dxa"/>
            <w:tcMar>
              <w:top w:w="80" w:type="dxa"/>
              <w:left w:w="100" w:type="dxa"/>
              <w:bottom w:w="80" w:type="dxa"/>
              <w:right w:w="100" w:type="dxa"/>
            </w:tcMar>
            <w:vAlign w:val="center"/>
          </w:tcPr>
          <w:p w:rsidP="30A512F6" w14:paraId="1E67921F"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Gross Margin %</w:t>
            </w:r>
          </w:p>
        </w:tc>
        <w:tc>
          <w:tcPr>
            <w:tcW w:w="1320" w:type="dxa"/>
            <w:tcMar>
              <w:top w:w="80" w:type="dxa"/>
              <w:left w:w="100" w:type="dxa"/>
              <w:bottom w:w="80" w:type="dxa"/>
              <w:right w:w="100" w:type="dxa"/>
            </w:tcMar>
            <w:vAlign w:val="center"/>
          </w:tcPr>
          <w:p w:rsidP="30A512F6" w14:paraId="0EB97B6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74.2%</w:t>
            </w:r>
          </w:p>
        </w:tc>
        <w:tc>
          <w:tcPr>
            <w:tcW w:w="1320" w:type="dxa"/>
            <w:tcMar>
              <w:top w:w="80" w:type="dxa"/>
              <w:left w:w="100" w:type="dxa"/>
              <w:bottom w:w="80" w:type="dxa"/>
              <w:right w:w="100" w:type="dxa"/>
            </w:tcMar>
            <w:vAlign w:val="center"/>
          </w:tcPr>
          <w:p w:rsidP="30A512F6" w14:paraId="10CA593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76.8%</w:t>
            </w:r>
          </w:p>
        </w:tc>
        <w:tc>
          <w:tcPr>
            <w:tcW w:w="1320" w:type="dxa"/>
            <w:tcMar>
              <w:top w:w="80" w:type="dxa"/>
              <w:left w:w="100" w:type="dxa"/>
              <w:bottom w:w="80" w:type="dxa"/>
              <w:right w:w="100" w:type="dxa"/>
            </w:tcMar>
            <w:vAlign w:val="center"/>
          </w:tcPr>
          <w:p w:rsidP="30A512F6" w14:paraId="2BE3B47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79.2%</w:t>
            </w:r>
          </w:p>
        </w:tc>
        <w:tc>
          <w:tcPr>
            <w:tcW w:w="1320" w:type="dxa"/>
            <w:tcMar>
              <w:top w:w="80" w:type="dxa"/>
              <w:left w:w="100" w:type="dxa"/>
              <w:bottom w:w="80" w:type="dxa"/>
              <w:right w:w="100" w:type="dxa"/>
            </w:tcMar>
            <w:vAlign w:val="center"/>
          </w:tcPr>
          <w:p w:rsidP="30A512F6" w14:paraId="0850B2A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81.3%</w:t>
            </w:r>
          </w:p>
        </w:tc>
        <w:tc>
          <w:tcPr>
            <w:tcW w:w="1320" w:type="dxa"/>
            <w:tcMar>
              <w:top w:w="80" w:type="dxa"/>
              <w:left w:w="100" w:type="dxa"/>
              <w:bottom w:w="80" w:type="dxa"/>
              <w:right w:w="100" w:type="dxa"/>
            </w:tcMar>
            <w:vAlign w:val="center"/>
          </w:tcPr>
          <w:p w:rsidP="30A512F6" w14:paraId="4D3F8A29"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83.0%</w:t>
            </w:r>
          </w:p>
        </w:tc>
      </w:tr>
      <w:tr xmlns:wp14="http://schemas.microsoft.com/office/word/2010/wordml" w:rsidTr="30A512F6" w14:paraId="77169AEB" wp14:textId="77777777">
        <w:tc>
          <w:tcPr>
            <w:tcW w:w="2760" w:type="dxa"/>
            <w:shd w:val="clear" w:color="auto" w:fill="EAF3F3"/>
            <w:tcMar>
              <w:top w:w="80" w:type="dxa"/>
              <w:left w:w="100" w:type="dxa"/>
              <w:bottom w:w="80" w:type="dxa"/>
              <w:right w:w="100" w:type="dxa"/>
            </w:tcMar>
            <w:vAlign w:val="center"/>
          </w:tcPr>
          <w:p w:rsidP="30A512F6" w14:paraId="203DCAD8"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Operating Margin %</w:t>
            </w:r>
          </w:p>
        </w:tc>
        <w:tc>
          <w:tcPr>
            <w:tcW w:w="1320" w:type="dxa"/>
            <w:shd w:val="clear" w:color="auto" w:fill="EAF3F3"/>
            <w:tcMar>
              <w:top w:w="80" w:type="dxa"/>
              <w:left w:w="100" w:type="dxa"/>
              <w:bottom w:w="80" w:type="dxa"/>
              <w:right w:w="100" w:type="dxa"/>
            </w:tcMar>
            <w:vAlign w:val="center"/>
          </w:tcPr>
          <w:p w:rsidP="30A512F6" w14:paraId="49A70E3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22.4%</w:t>
            </w:r>
          </w:p>
        </w:tc>
        <w:tc>
          <w:tcPr>
            <w:tcW w:w="1320" w:type="dxa"/>
            <w:shd w:val="clear" w:color="auto" w:fill="EAF3F3"/>
            <w:tcMar>
              <w:top w:w="80" w:type="dxa"/>
              <w:left w:w="100" w:type="dxa"/>
              <w:bottom w:w="80" w:type="dxa"/>
              <w:right w:w="100" w:type="dxa"/>
            </w:tcMar>
            <w:vAlign w:val="center"/>
          </w:tcPr>
          <w:p w:rsidP="30A512F6" w14:paraId="6E97309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25.0%</w:t>
            </w:r>
          </w:p>
        </w:tc>
        <w:tc>
          <w:tcPr>
            <w:tcW w:w="1320" w:type="dxa"/>
            <w:shd w:val="clear" w:color="auto" w:fill="EAF3F3"/>
            <w:tcMar>
              <w:top w:w="80" w:type="dxa"/>
              <w:left w:w="100" w:type="dxa"/>
              <w:bottom w:w="80" w:type="dxa"/>
              <w:right w:w="100" w:type="dxa"/>
            </w:tcMar>
            <w:vAlign w:val="center"/>
          </w:tcPr>
          <w:p w:rsidP="30A512F6" w14:paraId="350BA580"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18.9%</w:t>
            </w:r>
          </w:p>
        </w:tc>
        <w:tc>
          <w:tcPr>
            <w:tcW w:w="1320" w:type="dxa"/>
            <w:shd w:val="clear" w:color="auto" w:fill="EAF3F3"/>
            <w:tcMar>
              <w:top w:w="80" w:type="dxa"/>
              <w:left w:w="100" w:type="dxa"/>
              <w:bottom w:w="80" w:type="dxa"/>
              <w:right w:w="100" w:type="dxa"/>
            </w:tcMar>
            <w:vAlign w:val="center"/>
          </w:tcPr>
          <w:p w:rsidP="30A512F6" w14:paraId="00653430"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28.6%</w:t>
            </w:r>
          </w:p>
        </w:tc>
        <w:tc>
          <w:tcPr>
            <w:tcW w:w="1320" w:type="dxa"/>
            <w:shd w:val="clear" w:color="auto" w:fill="EAF3F3"/>
            <w:tcMar>
              <w:top w:w="80" w:type="dxa"/>
              <w:left w:w="100" w:type="dxa"/>
              <w:bottom w:w="80" w:type="dxa"/>
              <w:right w:w="100" w:type="dxa"/>
            </w:tcMar>
            <w:vAlign w:val="center"/>
          </w:tcPr>
          <w:p w:rsidP="30A512F6" w14:paraId="45C7FE73"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40.4%</w:t>
            </w:r>
          </w:p>
        </w:tc>
      </w:tr>
      <w:tr xmlns:wp14="http://schemas.microsoft.com/office/word/2010/wordml" w:rsidTr="30A512F6" w14:paraId="1303A10F" wp14:textId="77777777">
        <w:tc>
          <w:tcPr>
            <w:tcW w:w="2760" w:type="dxa"/>
            <w:tcMar>
              <w:top w:w="80" w:type="dxa"/>
              <w:left w:w="100" w:type="dxa"/>
              <w:bottom w:w="80" w:type="dxa"/>
              <w:right w:w="100" w:type="dxa"/>
            </w:tcMar>
            <w:vAlign w:val="center"/>
          </w:tcPr>
          <w:p w:rsidP="30A512F6" w14:paraId="7BD2DE32"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Net Margin %</w:t>
            </w:r>
          </w:p>
        </w:tc>
        <w:tc>
          <w:tcPr>
            <w:tcW w:w="1320" w:type="dxa"/>
            <w:tcMar>
              <w:top w:w="80" w:type="dxa"/>
              <w:left w:w="100" w:type="dxa"/>
              <w:bottom w:w="80" w:type="dxa"/>
              <w:right w:w="100" w:type="dxa"/>
            </w:tcMar>
            <w:vAlign w:val="center"/>
          </w:tcPr>
          <w:p w:rsidP="30A512F6" w14:paraId="12D610A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19.7%</w:t>
            </w:r>
          </w:p>
        </w:tc>
        <w:tc>
          <w:tcPr>
            <w:tcW w:w="1320" w:type="dxa"/>
            <w:tcMar>
              <w:top w:w="80" w:type="dxa"/>
              <w:left w:w="100" w:type="dxa"/>
              <w:bottom w:w="80" w:type="dxa"/>
              <w:right w:w="100" w:type="dxa"/>
            </w:tcMar>
            <w:vAlign w:val="center"/>
          </w:tcPr>
          <w:p w:rsidP="30A512F6" w14:paraId="378EBD81"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21.9%</w:t>
            </w:r>
          </w:p>
        </w:tc>
        <w:tc>
          <w:tcPr>
            <w:tcW w:w="1320" w:type="dxa"/>
            <w:tcMar>
              <w:top w:w="80" w:type="dxa"/>
              <w:left w:w="100" w:type="dxa"/>
              <w:bottom w:w="80" w:type="dxa"/>
              <w:right w:w="100" w:type="dxa"/>
            </w:tcMar>
            <w:vAlign w:val="center"/>
          </w:tcPr>
          <w:p w:rsidP="30A512F6" w14:paraId="25170D7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15.4%</w:t>
            </w:r>
          </w:p>
        </w:tc>
        <w:tc>
          <w:tcPr>
            <w:tcW w:w="1320" w:type="dxa"/>
            <w:tcMar>
              <w:top w:w="80" w:type="dxa"/>
              <w:left w:w="100" w:type="dxa"/>
              <w:bottom w:w="80" w:type="dxa"/>
              <w:right w:w="100" w:type="dxa"/>
            </w:tcMar>
            <w:vAlign w:val="center"/>
          </w:tcPr>
          <w:p w:rsidP="30A512F6" w14:paraId="5CD9AC7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23.5%</w:t>
            </w:r>
          </w:p>
        </w:tc>
        <w:tc>
          <w:tcPr>
            <w:tcW w:w="1320" w:type="dxa"/>
            <w:tcMar>
              <w:top w:w="80" w:type="dxa"/>
              <w:left w:w="100" w:type="dxa"/>
              <w:bottom w:w="80" w:type="dxa"/>
              <w:right w:w="100" w:type="dxa"/>
            </w:tcMar>
            <w:vAlign w:val="center"/>
          </w:tcPr>
          <w:p w:rsidP="30A512F6" w14:paraId="49781B60"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31.7%</w:t>
            </w:r>
          </w:p>
        </w:tc>
      </w:tr>
      <w:tr xmlns:wp14="http://schemas.microsoft.com/office/word/2010/wordml" w:rsidTr="30A512F6" w14:paraId="31162247" wp14:textId="77777777">
        <w:tc>
          <w:tcPr>
            <w:tcW w:w="2760" w:type="dxa"/>
            <w:shd w:val="clear" w:color="auto" w:fill="EAF3F3"/>
            <w:tcMar>
              <w:top w:w="80" w:type="dxa"/>
              <w:left w:w="100" w:type="dxa"/>
              <w:bottom w:w="80" w:type="dxa"/>
              <w:right w:w="100" w:type="dxa"/>
            </w:tcMar>
            <w:vAlign w:val="center"/>
          </w:tcPr>
          <w:p w:rsidP="30A512F6" w14:paraId="249383CB"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Diluted EPS</w:t>
            </w:r>
          </w:p>
        </w:tc>
        <w:tc>
          <w:tcPr>
            <w:tcW w:w="1320" w:type="dxa"/>
            <w:shd w:val="clear" w:color="auto" w:fill="EAF3F3"/>
            <w:tcMar>
              <w:top w:w="80" w:type="dxa"/>
              <w:left w:w="100" w:type="dxa"/>
              <w:bottom w:w="80" w:type="dxa"/>
              <w:right w:w="100" w:type="dxa"/>
            </w:tcMar>
            <w:vAlign w:val="center"/>
          </w:tcPr>
          <w:p w:rsidP="30A512F6" w14:paraId="5FF004B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$6.12</w:t>
            </w:r>
          </w:p>
        </w:tc>
        <w:tc>
          <w:tcPr>
            <w:tcW w:w="1320" w:type="dxa"/>
            <w:shd w:val="clear" w:color="auto" w:fill="EAF3F3"/>
            <w:tcMar>
              <w:top w:w="80" w:type="dxa"/>
              <w:left w:w="100" w:type="dxa"/>
              <w:bottom w:w="80" w:type="dxa"/>
              <w:right w:w="100" w:type="dxa"/>
            </w:tcMar>
            <w:vAlign w:val="center"/>
          </w:tcPr>
          <w:p w:rsidP="30A512F6" w14:paraId="231F056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$6.90</w:t>
            </w:r>
          </w:p>
        </w:tc>
        <w:tc>
          <w:tcPr>
            <w:tcW w:w="1320" w:type="dxa"/>
            <w:shd w:val="clear" w:color="auto" w:fill="EAF3F3"/>
            <w:tcMar>
              <w:top w:w="80" w:type="dxa"/>
              <w:left w:w="100" w:type="dxa"/>
              <w:bottom w:w="80" w:type="dxa"/>
              <w:right w:w="100" w:type="dxa"/>
            </w:tcMar>
            <w:vAlign w:val="center"/>
          </w:tcPr>
          <w:p w:rsidP="30A512F6" w14:paraId="323E843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$5.80</w:t>
            </w:r>
          </w:p>
        </w:tc>
        <w:tc>
          <w:tcPr>
            <w:tcW w:w="1320" w:type="dxa"/>
            <w:shd w:val="clear" w:color="auto" w:fill="EAF3F3"/>
            <w:tcMar>
              <w:top w:w="80" w:type="dxa"/>
              <w:left w:w="100" w:type="dxa"/>
              <w:bottom w:w="80" w:type="dxa"/>
              <w:right w:w="100" w:type="dxa"/>
            </w:tcMar>
            <w:vAlign w:val="center"/>
          </w:tcPr>
          <w:p w:rsidP="30A512F6" w14:paraId="3E54AD5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$11.71</w:t>
            </w:r>
          </w:p>
        </w:tc>
        <w:tc>
          <w:tcPr>
            <w:tcW w:w="1320" w:type="dxa"/>
            <w:shd w:val="clear" w:color="auto" w:fill="EAF3F3"/>
            <w:tcMar>
              <w:top w:w="80" w:type="dxa"/>
              <w:left w:w="100" w:type="dxa"/>
              <w:bottom w:w="80" w:type="dxa"/>
              <w:right w:w="100" w:type="dxa"/>
            </w:tcMar>
            <w:vAlign w:val="center"/>
          </w:tcPr>
          <w:p w:rsidP="30A512F6" w14:paraId="55D5B147"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$22.95</w:t>
            </w:r>
          </w:p>
        </w:tc>
      </w:tr>
    </w:tbl>
    <w:p xmlns:wp14="http://schemas.microsoft.com/office/word/2010/wordml" w:rsidP="30A512F6" w14:paraId="69ACC76C" wp14:textId="114B5204">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rPr>
      </w:pPr>
    </w:p>
    <w:p xmlns:wp14="http://schemas.microsoft.com/office/word/2010/wordml" w:rsidP="30A512F6" w14:paraId="0F978CB9" wp14:textId="1ED1D1FA">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rPr>
      </w:pPr>
      <w:r w:rsidRPr="30A512F6" w:rsidR="2EB616EF">
        <w:rPr>
          <w:rFonts w:ascii="Calibri" w:hAnsi="Calibri" w:eastAsia="Calibri" w:cs="Calibri"/>
          <w:b w:val="0"/>
          <w:bCs w:val="0"/>
          <w:i w:val="0"/>
          <w:iCs w:val="0"/>
          <w:caps w:val="0"/>
          <w:smallCaps w:val="0"/>
          <w:strike w:val="0"/>
          <w:dstrike w:val="0"/>
          <w:color w:val="000000"/>
          <w:sz w:val="22"/>
          <w:szCs w:val="22"/>
          <w:u w:val="none"/>
        </w:rPr>
        <w:t xml:space="preserve">The decline in </w:t>
      </w:r>
      <w:r w:rsidRPr="30A512F6" w:rsidR="2EB616EF">
        <w:rPr>
          <w:rFonts w:ascii="Calibri" w:hAnsi="Calibri" w:eastAsia="Calibri" w:cs="Calibri"/>
          <w:b w:val="0"/>
          <w:bCs w:val="0"/>
          <w:i w:val="0"/>
          <w:iCs w:val="0"/>
          <w:caps w:val="0"/>
          <w:smallCaps w:val="0"/>
          <w:strike w:val="0"/>
          <w:dstrike w:val="0"/>
          <w:color w:val="000000"/>
          <w:sz w:val="22"/>
          <w:szCs w:val="22"/>
          <w:u w:val="none"/>
        </w:rPr>
        <w:t>FY2023 operating and net margins</w:t>
      </w:r>
      <w:r w:rsidRPr="30A512F6" w:rsidR="2EB616EF">
        <w:rPr>
          <w:rFonts w:ascii="Calibri" w:hAnsi="Calibri" w:eastAsia="Calibri" w:cs="Calibri"/>
          <w:b w:val="0"/>
          <w:bCs w:val="0"/>
          <w:i w:val="0"/>
          <w:iCs w:val="0"/>
          <w:caps w:val="0"/>
          <w:smallCaps w:val="0"/>
          <w:strike w:val="0"/>
          <w:dstrike w:val="0"/>
          <w:color w:val="000000"/>
          <w:sz w:val="22"/>
          <w:szCs w:val="22"/>
          <w:u w:val="none"/>
        </w:rPr>
        <w:t xml:space="preserve"> was primarily driven by elevated </w:t>
      </w:r>
      <w:r w:rsidRPr="30A512F6" w:rsidR="2EB616EF">
        <w:rPr>
          <w:rFonts w:ascii="Calibri" w:hAnsi="Calibri" w:eastAsia="Calibri" w:cs="Calibri"/>
          <w:b w:val="0"/>
          <w:bCs w:val="0"/>
          <w:i w:val="0"/>
          <w:iCs w:val="0"/>
          <w:caps w:val="0"/>
          <w:smallCaps w:val="0"/>
          <w:strike w:val="0"/>
          <w:dstrike w:val="0"/>
          <w:color w:val="000000"/>
          <w:sz w:val="22"/>
          <w:szCs w:val="22"/>
          <w:u w:val="none"/>
        </w:rPr>
        <w:t>R&amp;D and business-development expenses</w:t>
      </w:r>
      <w:r w:rsidRPr="30A512F6" w:rsidR="2EB616EF">
        <w:rPr>
          <w:rFonts w:ascii="Calibri" w:hAnsi="Calibri" w:eastAsia="Calibri" w:cs="Calibri"/>
          <w:b w:val="0"/>
          <w:bCs w:val="0"/>
          <w:i w:val="0"/>
          <w:iCs w:val="0"/>
          <w:caps w:val="0"/>
          <w:smallCaps w:val="0"/>
          <w:strike w:val="0"/>
          <w:dstrike w:val="0"/>
          <w:color w:val="000000"/>
          <w:sz w:val="22"/>
          <w:szCs w:val="22"/>
          <w:u w:val="none"/>
        </w:rPr>
        <w:t xml:space="preserve"> rather than a weakening of Lilly’s core operating performance. This highlights the </w:t>
      </w:r>
      <w:r w:rsidRPr="30A512F6" w:rsidR="2EB616EF">
        <w:rPr>
          <w:rFonts w:ascii="Calibri" w:hAnsi="Calibri" w:eastAsia="Calibri" w:cs="Calibri"/>
          <w:b w:val="1"/>
          <w:bCs w:val="1"/>
          <w:i w:val="0"/>
          <w:iCs w:val="0"/>
          <w:caps w:val="0"/>
          <w:smallCaps w:val="0"/>
          <w:strike w:val="0"/>
          <w:dstrike w:val="0"/>
          <w:color w:val="000000"/>
          <w:sz w:val="22"/>
          <w:szCs w:val="22"/>
          <w:u w:val="none"/>
        </w:rPr>
        <w:t>potential volatility</w:t>
      </w:r>
      <w:r w:rsidRPr="30A512F6" w:rsidR="2EB616EF">
        <w:rPr>
          <w:rFonts w:ascii="Calibri" w:hAnsi="Calibri" w:eastAsia="Calibri" w:cs="Calibri"/>
          <w:b w:val="0"/>
          <w:bCs w:val="0"/>
          <w:i w:val="0"/>
          <w:iCs w:val="0"/>
          <w:caps w:val="0"/>
          <w:smallCaps w:val="0"/>
          <w:strike w:val="0"/>
          <w:dstrike w:val="0"/>
          <w:color w:val="000000"/>
          <w:sz w:val="22"/>
          <w:szCs w:val="22"/>
          <w:u w:val="none"/>
        </w:rPr>
        <w:t xml:space="preserve"> in annual pharmaceutical margins where </w:t>
      </w:r>
      <w:r w:rsidRPr="30A512F6" w:rsidR="2EB616EF">
        <w:rPr>
          <w:rFonts w:ascii="Calibri" w:hAnsi="Calibri" w:eastAsia="Calibri" w:cs="Calibri"/>
          <w:b w:val="0"/>
          <w:bCs w:val="0"/>
          <w:i w:val="0"/>
          <w:iCs w:val="0"/>
          <w:caps w:val="0"/>
          <w:smallCaps w:val="0"/>
          <w:strike w:val="0"/>
          <w:dstrike w:val="0"/>
          <w:color w:val="000000"/>
          <w:sz w:val="22"/>
          <w:szCs w:val="22"/>
          <w:u w:val="none"/>
        </w:rPr>
        <w:t>acquisitions, licensing deals and other strategic investments</w:t>
      </w:r>
      <w:r w:rsidRPr="30A512F6" w:rsidR="2EB616EF">
        <w:rPr>
          <w:rFonts w:ascii="Calibri" w:hAnsi="Calibri" w:eastAsia="Calibri" w:cs="Calibri"/>
          <w:b w:val="0"/>
          <w:bCs w:val="0"/>
          <w:i w:val="0"/>
          <w:iCs w:val="0"/>
          <w:caps w:val="0"/>
          <w:smallCaps w:val="0"/>
          <w:strike w:val="0"/>
          <w:dstrike w:val="0"/>
          <w:color w:val="000000"/>
          <w:sz w:val="22"/>
          <w:szCs w:val="22"/>
          <w:u w:val="none"/>
        </w:rPr>
        <w:t xml:space="preserve"> can create significant year-to-year fluctuations.</w:t>
      </w:r>
    </w:p>
    <w:p xmlns:wp14="http://schemas.microsoft.com/office/word/2010/wordml" w:rsidP="30A512F6" w14:paraId="2ACDDC1F" wp14:textId="6418DB05">
      <w:pPr>
        <w:pStyle w:val="Normal"/>
        <w:spacing w:after="160" w:line="276" w:lineRule="auto"/>
        <w:jc w:val="both"/>
      </w:pP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Working capital provides an important counterpoint to Lilly’s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strong growth</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profile.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Days Inventory Outstanding increased from 194 days in FY2021 to 454 days in FY2025</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reflecting substantial inventory and manufacturing buildout to support surging GLP-1 demand. Over the same period,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capital expenditures rose from $1.3 billion to $7.8 billion</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an increase of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nearly 500%</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While these investments support future growth, they also </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represent</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a </w:t>
      </w:r>
      <w:r w:rsidRPr="30A512F6" w:rsidR="2EB616EF">
        <w:rPr>
          <w:rFonts w:ascii="Calibri" w:hAnsi="Calibri" w:eastAsia="Calibri" w:cs="Calibri"/>
          <w:b w:val="1"/>
          <w:bCs w:val="1"/>
          <w:i w:val="0"/>
          <w:iCs w:val="0"/>
          <w:caps w:val="0"/>
          <w:smallCaps w:val="0"/>
          <w:strike w:val="0"/>
          <w:dstrike w:val="0"/>
          <w:color w:val="000000"/>
          <w:sz w:val="22"/>
          <w:szCs w:val="22"/>
          <w:u w:val="none"/>
          <w:lang w:val="en-GB"/>
        </w:rPr>
        <w:t>significant cash-flow requirement and execution consideration</w:t>
      </w:r>
      <w:r w:rsidRPr="30A512F6" w:rsidR="2EB616EF">
        <w:rPr>
          <w:rFonts w:ascii="Calibri" w:hAnsi="Calibri" w:eastAsia="Calibri" w:cs="Calibri"/>
          <w:b w:val="0"/>
          <w:bCs w:val="0"/>
          <w:i w:val="0"/>
          <w:iCs w:val="0"/>
          <w:caps w:val="0"/>
          <w:smallCaps w:val="0"/>
          <w:strike w:val="0"/>
          <w:dstrike w:val="0"/>
          <w:color w:val="000000"/>
          <w:sz w:val="22"/>
          <w:szCs w:val="22"/>
          <w:u w:val="none"/>
          <w:lang w:val="en-GB"/>
        </w:rPr>
        <w:t xml:space="preserve"> for the business.</w:t>
      </w:r>
    </w:p>
    <w:p w:rsidR="30A512F6" w:rsidP="30A512F6" w:rsidRDefault="30A512F6" w14:paraId="05953476" w14:textId="19CD4EB7">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lang w:val="en-GB"/>
        </w:rPr>
      </w:pPr>
    </w:p>
    <w:p xmlns:wp14="http://schemas.microsoft.com/office/word/2010/wordml" w:rsidP="30A512F6" w14:paraId="2DA47C23" wp14:textId="41D30461">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5-Year Forecast</w:t>
      </w:r>
      <w:r w:rsidRPr="30A512F6" w:rsidR="39458237">
        <w:rPr>
          <w:rFonts w:ascii="Calibri" w:hAnsi="Calibri" w:eastAsia="Calibri" w:cs="Calibri"/>
          <w:color w:val="45126B"/>
        </w:rPr>
        <w:t xml:space="preserve"> (</w:t>
      </w:r>
      <w:r w:rsidRPr="30A512F6" w:rsidR="30A512F6">
        <w:rPr>
          <w:rFonts w:ascii="Calibri" w:hAnsi="Calibri" w:eastAsia="Calibri" w:cs="Calibri"/>
          <w:color w:val="45126B"/>
        </w:rPr>
        <w:t>FY2026E-FY2030E</w:t>
      </w:r>
      <w:r w:rsidRPr="30A512F6" w:rsidR="1BE2DF42">
        <w:rPr>
          <w:rFonts w:ascii="Calibri" w:hAnsi="Calibri" w:eastAsia="Calibri" w:cs="Calibri"/>
          <w:color w:val="45126B"/>
        </w:rPr>
        <w:t>)</w:t>
      </w:r>
    </w:p>
    <w:p w:rsidR="457216BF" w:rsidP="30A512F6" w:rsidRDefault="457216BF" w14:paraId="46A3CFC4" w14:textId="601A6455">
      <w:pPr>
        <w:spacing w:before="240" w:beforeAutospacing="off" w:after="240" w:afterAutospacing="off"/>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FY2026E is based on Lilly’s latest management guidance</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which has been raised twice during 2026 from </w:t>
      </w:r>
      <w:r w:rsidRPr="30A512F6" w:rsidR="457216BF">
        <w:rPr>
          <w:rFonts w:ascii="Calibri" w:hAnsi="Calibri" w:eastAsia="Calibri" w:cs="Calibri"/>
          <w:b w:val="1"/>
          <w:bCs w:val="1"/>
          <w:i w:val="0"/>
          <w:iCs w:val="0"/>
          <w:caps w:val="0"/>
          <w:smallCaps w:val="0"/>
          <w:strike w:val="0"/>
          <w:dstrike w:val="0"/>
          <w:noProof w:val="0"/>
          <w:color w:val="000000"/>
          <w:sz w:val="22"/>
          <w:szCs w:val="22"/>
          <w:u w:val="none"/>
          <w:lang w:val="en-US"/>
        </w:rPr>
        <w:t>$80.0-83.0 billion</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in February to </w:t>
      </w:r>
      <w:r w:rsidRPr="30A512F6" w:rsidR="457216BF">
        <w:rPr>
          <w:rFonts w:ascii="Calibri" w:hAnsi="Calibri" w:eastAsia="Calibri" w:cs="Calibri"/>
          <w:b w:val="1"/>
          <w:bCs w:val="1"/>
          <w:i w:val="0"/>
          <w:iCs w:val="0"/>
          <w:caps w:val="0"/>
          <w:smallCaps w:val="0"/>
          <w:strike w:val="0"/>
          <w:dstrike w:val="0"/>
          <w:noProof w:val="0"/>
          <w:color w:val="000000"/>
          <w:sz w:val="22"/>
          <w:szCs w:val="22"/>
          <w:u w:val="none"/>
          <w:lang w:val="en-US"/>
        </w:rPr>
        <w:t>$82.0–85.0 billion</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in April and </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ultimately to</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w:t>
      </w:r>
      <w:r w:rsidRPr="30A512F6" w:rsidR="457216BF">
        <w:rPr>
          <w:rFonts w:ascii="Calibri" w:hAnsi="Calibri" w:eastAsia="Calibri" w:cs="Calibri"/>
          <w:b w:val="1"/>
          <w:bCs w:val="1"/>
          <w:i w:val="0"/>
          <w:iCs w:val="0"/>
          <w:caps w:val="0"/>
          <w:smallCaps w:val="0"/>
          <w:strike w:val="0"/>
          <w:dstrike w:val="0"/>
          <w:noProof w:val="0"/>
          <w:color w:val="000000"/>
          <w:sz w:val="22"/>
          <w:szCs w:val="22"/>
          <w:u w:val="none"/>
          <w:lang w:val="en-US"/>
        </w:rPr>
        <w:t>$85.0–87.0 billion</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in August. The sequence of upward revisions provides a strong </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indication</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of sustained operating momentum and management’s ability to forecast effectively.</w:t>
      </w:r>
    </w:p>
    <w:p w:rsidR="457216BF" w:rsidP="30A512F6" w:rsidRDefault="457216BF" w14:paraId="4564C25E" w14:textId="5479DFF3">
      <w:pPr>
        <w:spacing w:before="240" w:beforeAutospacing="off" w:after="240" w:afterAutospacing="off"/>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For FY2027E–FY2030E, the projections are based on our own model assumptions. Revenue growth is expected to moderate from </w:t>
      </w:r>
      <w:r w:rsidRPr="30A512F6" w:rsidR="457216BF">
        <w:rPr>
          <w:rFonts w:ascii="Calibri" w:hAnsi="Calibri" w:eastAsia="Calibri" w:cs="Calibri"/>
          <w:b w:val="1"/>
          <w:bCs w:val="1"/>
          <w:i w:val="0"/>
          <w:iCs w:val="0"/>
          <w:caps w:val="0"/>
          <w:smallCaps w:val="0"/>
          <w:strike w:val="0"/>
          <w:dstrike w:val="0"/>
          <w:noProof w:val="0"/>
          <w:color w:val="000000"/>
          <w:sz w:val="22"/>
          <w:szCs w:val="22"/>
          <w:u w:val="none"/>
          <w:lang w:val="en-US"/>
        </w:rPr>
        <w:t>18% to 9% annually</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as the GLP-1 franchise moves toward a more mature growth phase</w:t>
      </w:r>
      <w:r w:rsidRPr="30A512F6" w:rsidR="6CEC9E5C">
        <w:rPr>
          <w:rFonts w:ascii="Calibri" w:hAnsi="Calibri" w:eastAsia="Calibri" w:cs="Calibri"/>
          <w:b w:val="0"/>
          <w:bCs w:val="0"/>
          <w:i w:val="0"/>
          <w:iCs w:val="0"/>
          <w:caps w:val="0"/>
          <w:smallCaps w:val="0"/>
          <w:strike w:val="0"/>
          <w:dstrike w:val="0"/>
          <w:noProof w:val="0"/>
          <w:color w:val="000000"/>
          <w:sz w:val="22"/>
          <w:szCs w:val="22"/>
          <w:u w:val="none"/>
          <w:lang w:val="en-US"/>
        </w:rPr>
        <w:t xml:space="preserve"> along with</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operating margins continu</w:t>
      </w:r>
      <w:r w:rsidRPr="30A512F6" w:rsidR="0653DB80">
        <w:rPr>
          <w:rFonts w:ascii="Calibri" w:hAnsi="Calibri" w:eastAsia="Calibri" w:cs="Calibri"/>
          <w:b w:val="0"/>
          <w:bCs w:val="0"/>
          <w:i w:val="0"/>
          <w:iCs w:val="0"/>
          <w:caps w:val="0"/>
          <w:smallCaps w:val="0"/>
          <w:strike w:val="0"/>
          <w:dstrike w:val="0"/>
          <w:noProof w:val="0"/>
          <w:color w:val="000000"/>
          <w:sz w:val="22"/>
          <w:szCs w:val="22"/>
          <w:u w:val="none"/>
          <w:lang w:val="en-US"/>
        </w:rPr>
        <w:t xml:space="preserve">ing </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to expand</w:t>
      </w:r>
      <w:r w:rsidRPr="30A512F6" w:rsidR="48B91673">
        <w:rPr>
          <w:rFonts w:ascii="Calibri" w:hAnsi="Calibri" w:eastAsia="Calibri" w:cs="Calibri"/>
          <w:b w:val="0"/>
          <w:bCs w:val="0"/>
          <w:i w:val="0"/>
          <w:iCs w:val="0"/>
          <w:caps w:val="0"/>
          <w:smallCaps w:val="0"/>
          <w:strike w:val="0"/>
          <w:dstrike w:val="0"/>
          <w:noProof w:val="0"/>
          <w:color w:val="000000"/>
          <w:sz w:val="22"/>
          <w:szCs w:val="22"/>
          <w:u w:val="none"/>
          <w:lang w:val="en-US"/>
        </w:rPr>
        <w:t xml:space="preserve"> but</w:t>
      </w:r>
      <w:r w:rsidRPr="30A512F6" w:rsidR="457216BF">
        <w:rPr>
          <w:rFonts w:ascii="Calibri" w:hAnsi="Calibri" w:eastAsia="Calibri" w:cs="Calibri"/>
          <w:b w:val="0"/>
          <w:bCs w:val="0"/>
          <w:i w:val="0"/>
          <w:iCs w:val="0"/>
          <w:caps w:val="0"/>
          <w:smallCaps w:val="0"/>
          <w:strike w:val="0"/>
          <w:dstrike w:val="0"/>
          <w:noProof w:val="0"/>
          <w:color w:val="000000"/>
          <w:sz w:val="22"/>
          <w:szCs w:val="22"/>
          <w:u w:val="none"/>
          <w:lang w:val="en-US"/>
        </w:rPr>
        <w:t xml:space="preserve"> at a gradually slower pace.</w:t>
      </w:r>
    </w:p>
    <w:p w:rsidR="30A512F6" w:rsidP="30A512F6" w:rsidRDefault="30A512F6" w14:paraId="297BB559" w14:textId="18869E8B">
      <w:pPr>
        <w:spacing w:after="160" w:line="276" w:lineRule="auto"/>
        <w:jc w:val="both"/>
        <w:rPr>
          <w:rFonts w:ascii="Calibri" w:hAnsi="Calibri" w:eastAsia="Calibri" w:cs="Calibri"/>
          <w:color w:val="222222"/>
          <w:sz w:val="21"/>
          <w:szCs w:val="21"/>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xmlns:wp14="http://schemas.microsoft.com/office/word/2010/wordml" w:rsidTr="30A512F6" w14:paraId="0AE76530" wp14:textId="77777777">
        <w:trPr>
          <w:tblHeader/>
        </w:trPr>
        <w:tc>
          <w:tcPr>
            <w:tcW w:w="2760" w:type="dxa"/>
            <w:shd w:val="clear" w:color="auto" w:fill="0B2E33"/>
            <w:tcMar>
              <w:top w:w="80" w:type="dxa"/>
              <w:left w:w="100" w:type="dxa"/>
              <w:bottom w:w="80" w:type="dxa"/>
              <w:right w:w="100" w:type="dxa"/>
            </w:tcMar>
            <w:vAlign w:val="center"/>
          </w:tcPr>
          <w:p w:rsidP="30A512F6" w14:paraId="1C8911A5"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($M except per share)</w:t>
            </w:r>
          </w:p>
        </w:tc>
        <w:tc>
          <w:tcPr>
            <w:tcW w:w="1320" w:type="dxa"/>
            <w:shd w:val="clear" w:color="auto" w:fill="0B2E33"/>
            <w:tcMar>
              <w:top w:w="80" w:type="dxa"/>
              <w:left w:w="100" w:type="dxa"/>
              <w:bottom w:w="80" w:type="dxa"/>
              <w:right w:w="100" w:type="dxa"/>
            </w:tcMar>
            <w:vAlign w:val="center"/>
          </w:tcPr>
          <w:p w:rsidP="30A512F6" w14:paraId="0F7A88E2"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FY2026E</w:t>
            </w:r>
          </w:p>
        </w:tc>
        <w:tc>
          <w:tcPr>
            <w:tcW w:w="1320" w:type="dxa"/>
            <w:shd w:val="clear" w:color="auto" w:fill="0B2E33"/>
            <w:tcMar>
              <w:top w:w="80" w:type="dxa"/>
              <w:left w:w="100" w:type="dxa"/>
              <w:bottom w:w="80" w:type="dxa"/>
              <w:right w:w="100" w:type="dxa"/>
            </w:tcMar>
            <w:vAlign w:val="center"/>
          </w:tcPr>
          <w:p w:rsidP="30A512F6" w14:paraId="3D4B1BC7"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FY2027E</w:t>
            </w:r>
          </w:p>
        </w:tc>
        <w:tc>
          <w:tcPr>
            <w:tcW w:w="1320" w:type="dxa"/>
            <w:shd w:val="clear" w:color="auto" w:fill="0B2E33"/>
            <w:tcMar>
              <w:top w:w="80" w:type="dxa"/>
              <w:left w:w="100" w:type="dxa"/>
              <w:bottom w:w="80" w:type="dxa"/>
              <w:right w:w="100" w:type="dxa"/>
            </w:tcMar>
            <w:vAlign w:val="center"/>
          </w:tcPr>
          <w:p w:rsidP="30A512F6" w14:paraId="3946CF78"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FY2028E</w:t>
            </w:r>
          </w:p>
        </w:tc>
        <w:tc>
          <w:tcPr>
            <w:tcW w:w="1320" w:type="dxa"/>
            <w:shd w:val="clear" w:color="auto" w:fill="0B2E33"/>
            <w:tcMar>
              <w:top w:w="80" w:type="dxa"/>
              <w:left w:w="100" w:type="dxa"/>
              <w:bottom w:w="80" w:type="dxa"/>
              <w:right w:w="100" w:type="dxa"/>
            </w:tcMar>
            <w:vAlign w:val="center"/>
          </w:tcPr>
          <w:p w:rsidP="30A512F6" w14:paraId="3E627EB7"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FY2029E</w:t>
            </w:r>
          </w:p>
        </w:tc>
        <w:tc>
          <w:tcPr>
            <w:tcW w:w="1320" w:type="dxa"/>
            <w:shd w:val="clear" w:color="auto" w:fill="0B2E33"/>
            <w:tcMar>
              <w:top w:w="80" w:type="dxa"/>
              <w:left w:w="100" w:type="dxa"/>
              <w:bottom w:w="80" w:type="dxa"/>
              <w:right w:w="100" w:type="dxa"/>
            </w:tcMar>
            <w:vAlign w:val="center"/>
          </w:tcPr>
          <w:p w:rsidP="30A512F6" w14:paraId="59875E94"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FY2030E</w:t>
            </w:r>
          </w:p>
        </w:tc>
      </w:tr>
      <w:tr xmlns:wp14="http://schemas.microsoft.com/office/word/2010/wordml" w:rsidTr="30A512F6" w14:paraId="3431E7A7" wp14:textId="77777777">
        <w:tc>
          <w:tcPr>
            <w:tcW w:w="2760" w:type="dxa"/>
            <w:tcMar>
              <w:top w:w="80" w:type="dxa"/>
              <w:left w:w="100" w:type="dxa"/>
              <w:bottom w:w="80" w:type="dxa"/>
              <w:right w:w="100" w:type="dxa"/>
            </w:tcMar>
            <w:vAlign w:val="center"/>
          </w:tcPr>
          <w:p w:rsidP="30A512F6" w14:paraId="53599F77"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Total Revenue</w:t>
            </w:r>
          </w:p>
        </w:tc>
        <w:tc>
          <w:tcPr>
            <w:tcW w:w="1320" w:type="dxa"/>
            <w:tcMar>
              <w:top w:w="80" w:type="dxa"/>
              <w:left w:w="100" w:type="dxa"/>
              <w:bottom w:w="80" w:type="dxa"/>
              <w:right w:w="100" w:type="dxa"/>
            </w:tcMar>
            <w:vAlign w:val="center"/>
          </w:tcPr>
          <w:p w:rsidP="30A512F6" w14:paraId="29F3FA1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85,971</w:t>
            </w:r>
          </w:p>
        </w:tc>
        <w:tc>
          <w:tcPr>
            <w:tcW w:w="1320" w:type="dxa"/>
            <w:tcMar>
              <w:top w:w="80" w:type="dxa"/>
              <w:left w:w="100" w:type="dxa"/>
              <w:bottom w:w="80" w:type="dxa"/>
              <w:right w:w="100" w:type="dxa"/>
            </w:tcMar>
            <w:vAlign w:val="center"/>
          </w:tcPr>
          <w:p w:rsidP="30A512F6" w14:paraId="0C81C1EA"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101,446</w:t>
            </w:r>
          </w:p>
        </w:tc>
        <w:tc>
          <w:tcPr>
            <w:tcW w:w="1320" w:type="dxa"/>
            <w:tcMar>
              <w:top w:w="80" w:type="dxa"/>
              <w:left w:w="100" w:type="dxa"/>
              <w:bottom w:w="80" w:type="dxa"/>
              <w:right w:w="100" w:type="dxa"/>
            </w:tcMar>
            <w:vAlign w:val="center"/>
          </w:tcPr>
          <w:p w:rsidP="30A512F6" w14:paraId="24DB146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115,648</w:t>
            </w:r>
          </w:p>
        </w:tc>
        <w:tc>
          <w:tcPr>
            <w:tcW w:w="1320" w:type="dxa"/>
            <w:tcMar>
              <w:top w:w="80" w:type="dxa"/>
              <w:left w:w="100" w:type="dxa"/>
              <w:bottom w:w="80" w:type="dxa"/>
              <w:right w:w="100" w:type="dxa"/>
            </w:tcMar>
            <w:vAlign w:val="center"/>
          </w:tcPr>
          <w:p w:rsidP="30A512F6" w14:paraId="11F3797C"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128,370</w:t>
            </w:r>
          </w:p>
        </w:tc>
        <w:tc>
          <w:tcPr>
            <w:tcW w:w="1320" w:type="dxa"/>
            <w:tcMar>
              <w:top w:w="80" w:type="dxa"/>
              <w:left w:w="100" w:type="dxa"/>
              <w:bottom w:w="80" w:type="dxa"/>
              <w:right w:w="100" w:type="dxa"/>
            </w:tcMar>
            <w:vAlign w:val="center"/>
          </w:tcPr>
          <w:p w:rsidP="30A512F6" w14:paraId="7FD3543B"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139,923</w:t>
            </w:r>
          </w:p>
        </w:tc>
      </w:tr>
      <w:tr xmlns:wp14="http://schemas.microsoft.com/office/word/2010/wordml" w:rsidTr="30A512F6" w14:paraId="2A5E369C" wp14:textId="77777777">
        <w:tc>
          <w:tcPr>
            <w:tcW w:w="2760" w:type="dxa"/>
            <w:shd w:val="clear" w:color="auto" w:fill="EAF3F3"/>
            <w:tcMar>
              <w:top w:w="80" w:type="dxa"/>
              <w:left w:w="100" w:type="dxa"/>
              <w:bottom w:w="80" w:type="dxa"/>
              <w:right w:w="100" w:type="dxa"/>
            </w:tcMar>
            <w:vAlign w:val="center"/>
          </w:tcPr>
          <w:p w:rsidP="30A512F6" w14:paraId="629D19F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Revenue Growth %</w:t>
            </w:r>
          </w:p>
        </w:tc>
        <w:tc>
          <w:tcPr>
            <w:tcW w:w="1320" w:type="dxa"/>
            <w:shd w:val="clear" w:color="auto" w:fill="EAF3F3"/>
            <w:tcMar>
              <w:top w:w="80" w:type="dxa"/>
              <w:left w:w="100" w:type="dxa"/>
              <w:bottom w:w="80" w:type="dxa"/>
              <w:right w:w="100" w:type="dxa"/>
            </w:tcMar>
            <w:vAlign w:val="center"/>
          </w:tcPr>
          <w:p w:rsidP="30A512F6" w14:paraId="269ADF2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31.9%</w:t>
            </w:r>
          </w:p>
        </w:tc>
        <w:tc>
          <w:tcPr>
            <w:tcW w:w="1320" w:type="dxa"/>
            <w:shd w:val="clear" w:color="auto" w:fill="EAF3F3"/>
            <w:tcMar>
              <w:top w:w="80" w:type="dxa"/>
              <w:left w:w="100" w:type="dxa"/>
              <w:bottom w:w="80" w:type="dxa"/>
              <w:right w:w="100" w:type="dxa"/>
            </w:tcMar>
            <w:vAlign w:val="center"/>
          </w:tcPr>
          <w:p w:rsidP="30A512F6" w14:paraId="2B1FA2DA"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18.0%</w:t>
            </w:r>
          </w:p>
        </w:tc>
        <w:tc>
          <w:tcPr>
            <w:tcW w:w="1320" w:type="dxa"/>
            <w:shd w:val="clear" w:color="auto" w:fill="EAF3F3"/>
            <w:tcMar>
              <w:top w:w="80" w:type="dxa"/>
              <w:left w:w="100" w:type="dxa"/>
              <w:bottom w:w="80" w:type="dxa"/>
              <w:right w:w="100" w:type="dxa"/>
            </w:tcMar>
            <w:vAlign w:val="center"/>
          </w:tcPr>
          <w:p w:rsidP="30A512F6" w14:paraId="1BA80813"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14.0%</w:t>
            </w:r>
          </w:p>
        </w:tc>
        <w:tc>
          <w:tcPr>
            <w:tcW w:w="1320" w:type="dxa"/>
            <w:shd w:val="clear" w:color="auto" w:fill="EAF3F3"/>
            <w:tcMar>
              <w:top w:w="80" w:type="dxa"/>
              <w:left w:w="100" w:type="dxa"/>
              <w:bottom w:w="80" w:type="dxa"/>
              <w:right w:w="100" w:type="dxa"/>
            </w:tcMar>
            <w:vAlign w:val="center"/>
          </w:tcPr>
          <w:p w:rsidP="30A512F6" w14:paraId="5218679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11.0%</w:t>
            </w:r>
          </w:p>
        </w:tc>
        <w:tc>
          <w:tcPr>
            <w:tcW w:w="1320" w:type="dxa"/>
            <w:shd w:val="clear" w:color="auto" w:fill="EAF3F3"/>
            <w:tcMar>
              <w:top w:w="80" w:type="dxa"/>
              <w:left w:w="100" w:type="dxa"/>
              <w:bottom w:w="80" w:type="dxa"/>
              <w:right w:w="100" w:type="dxa"/>
            </w:tcMar>
            <w:vAlign w:val="center"/>
          </w:tcPr>
          <w:p w:rsidP="30A512F6" w14:paraId="2D9C2D3E"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9.0%</w:t>
            </w:r>
          </w:p>
        </w:tc>
      </w:tr>
      <w:tr xmlns:wp14="http://schemas.microsoft.com/office/word/2010/wordml" w:rsidTr="30A512F6" w14:paraId="6DC3E698" wp14:textId="77777777">
        <w:tc>
          <w:tcPr>
            <w:tcW w:w="2760" w:type="dxa"/>
            <w:tcMar>
              <w:top w:w="80" w:type="dxa"/>
              <w:left w:w="100" w:type="dxa"/>
              <w:bottom w:w="80" w:type="dxa"/>
              <w:right w:w="100" w:type="dxa"/>
            </w:tcMar>
            <w:vAlign w:val="center"/>
          </w:tcPr>
          <w:p w:rsidP="30A512F6" w14:paraId="2CA144CE"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Operating Margin %</w:t>
            </w:r>
          </w:p>
        </w:tc>
        <w:tc>
          <w:tcPr>
            <w:tcW w:w="1320" w:type="dxa"/>
            <w:tcMar>
              <w:top w:w="80" w:type="dxa"/>
              <w:left w:w="100" w:type="dxa"/>
              <w:bottom w:w="80" w:type="dxa"/>
              <w:right w:w="100" w:type="dxa"/>
            </w:tcMar>
            <w:vAlign w:val="center"/>
          </w:tcPr>
          <w:p w:rsidP="30A512F6" w14:paraId="1CC11523"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42.0%</w:t>
            </w:r>
          </w:p>
        </w:tc>
        <w:tc>
          <w:tcPr>
            <w:tcW w:w="1320" w:type="dxa"/>
            <w:tcMar>
              <w:top w:w="80" w:type="dxa"/>
              <w:left w:w="100" w:type="dxa"/>
              <w:bottom w:w="80" w:type="dxa"/>
              <w:right w:w="100" w:type="dxa"/>
            </w:tcMar>
            <w:vAlign w:val="center"/>
          </w:tcPr>
          <w:p w:rsidP="30A512F6" w14:paraId="559E073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43.0%</w:t>
            </w:r>
          </w:p>
        </w:tc>
        <w:tc>
          <w:tcPr>
            <w:tcW w:w="1320" w:type="dxa"/>
            <w:tcMar>
              <w:top w:w="80" w:type="dxa"/>
              <w:left w:w="100" w:type="dxa"/>
              <w:bottom w:w="80" w:type="dxa"/>
              <w:right w:w="100" w:type="dxa"/>
            </w:tcMar>
            <w:vAlign w:val="center"/>
          </w:tcPr>
          <w:p w:rsidP="30A512F6" w14:paraId="54645307"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44.0%</w:t>
            </w:r>
          </w:p>
        </w:tc>
        <w:tc>
          <w:tcPr>
            <w:tcW w:w="1320" w:type="dxa"/>
            <w:tcMar>
              <w:top w:w="80" w:type="dxa"/>
              <w:left w:w="100" w:type="dxa"/>
              <w:bottom w:w="80" w:type="dxa"/>
              <w:right w:w="100" w:type="dxa"/>
            </w:tcMar>
            <w:vAlign w:val="center"/>
          </w:tcPr>
          <w:p w:rsidP="30A512F6" w14:paraId="74C965F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45.0%</w:t>
            </w:r>
          </w:p>
        </w:tc>
        <w:tc>
          <w:tcPr>
            <w:tcW w:w="1320" w:type="dxa"/>
            <w:tcMar>
              <w:top w:w="80" w:type="dxa"/>
              <w:left w:w="100" w:type="dxa"/>
              <w:bottom w:w="80" w:type="dxa"/>
              <w:right w:w="100" w:type="dxa"/>
            </w:tcMar>
            <w:vAlign w:val="center"/>
          </w:tcPr>
          <w:p w:rsidP="30A512F6" w14:paraId="22702C21"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46.0%</w:t>
            </w:r>
          </w:p>
        </w:tc>
      </w:tr>
      <w:tr xmlns:wp14="http://schemas.microsoft.com/office/word/2010/wordml" w:rsidTr="30A512F6" w14:paraId="0F94E295" wp14:textId="77777777">
        <w:tc>
          <w:tcPr>
            <w:tcW w:w="2760" w:type="dxa"/>
            <w:shd w:val="clear" w:color="auto" w:fill="EAF3F3"/>
            <w:tcMar>
              <w:top w:w="80" w:type="dxa"/>
              <w:left w:w="100" w:type="dxa"/>
              <w:bottom w:w="80" w:type="dxa"/>
              <w:right w:w="100" w:type="dxa"/>
            </w:tcMar>
            <w:vAlign w:val="center"/>
          </w:tcPr>
          <w:p w:rsidP="30A512F6" w14:paraId="4745291A"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Net Margin %</w:t>
            </w:r>
          </w:p>
        </w:tc>
        <w:tc>
          <w:tcPr>
            <w:tcW w:w="1320" w:type="dxa"/>
            <w:shd w:val="clear" w:color="auto" w:fill="EAF3F3"/>
            <w:tcMar>
              <w:top w:w="80" w:type="dxa"/>
              <w:left w:w="100" w:type="dxa"/>
              <w:bottom w:w="80" w:type="dxa"/>
              <w:right w:w="100" w:type="dxa"/>
            </w:tcMar>
            <w:vAlign w:val="center"/>
          </w:tcPr>
          <w:p w:rsidP="30A512F6" w14:paraId="757F33AA"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33.5%</w:t>
            </w:r>
          </w:p>
        </w:tc>
        <w:tc>
          <w:tcPr>
            <w:tcW w:w="1320" w:type="dxa"/>
            <w:shd w:val="clear" w:color="auto" w:fill="EAF3F3"/>
            <w:tcMar>
              <w:top w:w="80" w:type="dxa"/>
              <w:left w:w="100" w:type="dxa"/>
              <w:bottom w:w="80" w:type="dxa"/>
              <w:right w:w="100" w:type="dxa"/>
            </w:tcMar>
            <w:vAlign w:val="center"/>
          </w:tcPr>
          <w:p w:rsidP="30A512F6" w14:paraId="2621734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34.5%</w:t>
            </w:r>
          </w:p>
        </w:tc>
        <w:tc>
          <w:tcPr>
            <w:tcW w:w="1320" w:type="dxa"/>
            <w:shd w:val="clear" w:color="auto" w:fill="EAF3F3"/>
            <w:tcMar>
              <w:top w:w="80" w:type="dxa"/>
              <w:left w:w="100" w:type="dxa"/>
              <w:bottom w:w="80" w:type="dxa"/>
              <w:right w:w="100" w:type="dxa"/>
            </w:tcMar>
            <w:vAlign w:val="center"/>
          </w:tcPr>
          <w:p w:rsidP="30A512F6" w14:paraId="19BA70B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36.0%</w:t>
            </w:r>
          </w:p>
        </w:tc>
        <w:tc>
          <w:tcPr>
            <w:tcW w:w="1320" w:type="dxa"/>
            <w:shd w:val="clear" w:color="auto" w:fill="EAF3F3"/>
            <w:tcMar>
              <w:top w:w="80" w:type="dxa"/>
              <w:left w:w="100" w:type="dxa"/>
              <w:bottom w:w="80" w:type="dxa"/>
              <w:right w:w="100" w:type="dxa"/>
            </w:tcMar>
            <w:vAlign w:val="center"/>
          </w:tcPr>
          <w:p w:rsidP="30A512F6" w14:paraId="7F3F5A5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37.5%</w:t>
            </w:r>
          </w:p>
        </w:tc>
        <w:tc>
          <w:tcPr>
            <w:tcW w:w="1320" w:type="dxa"/>
            <w:shd w:val="clear" w:color="auto" w:fill="EAF3F3"/>
            <w:tcMar>
              <w:top w:w="80" w:type="dxa"/>
              <w:left w:w="100" w:type="dxa"/>
              <w:bottom w:w="80" w:type="dxa"/>
              <w:right w:w="100" w:type="dxa"/>
            </w:tcMar>
            <w:vAlign w:val="center"/>
          </w:tcPr>
          <w:p w:rsidP="30A512F6" w14:paraId="59E45ECB"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38.5%</w:t>
            </w:r>
          </w:p>
        </w:tc>
      </w:tr>
      <w:tr xmlns:wp14="http://schemas.microsoft.com/office/word/2010/wordml" w:rsidTr="30A512F6" w14:paraId="4F39BCB8" wp14:textId="77777777">
        <w:tc>
          <w:tcPr>
            <w:tcW w:w="2760" w:type="dxa"/>
            <w:tcMar>
              <w:top w:w="80" w:type="dxa"/>
              <w:left w:w="100" w:type="dxa"/>
              <w:bottom w:w="80" w:type="dxa"/>
              <w:right w:w="100" w:type="dxa"/>
            </w:tcMar>
            <w:vAlign w:val="center"/>
          </w:tcPr>
          <w:p w:rsidP="30A512F6" w14:paraId="072D56A1"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Diluted EPS</w:t>
            </w:r>
          </w:p>
        </w:tc>
        <w:tc>
          <w:tcPr>
            <w:tcW w:w="1320" w:type="dxa"/>
            <w:tcMar>
              <w:top w:w="80" w:type="dxa"/>
              <w:left w:w="100" w:type="dxa"/>
              <w:bottom w:w="80" w:type="dxa"/>
              <w:right w:w="100" w:type="dxa"/>
            </w:tcMar>
            <w:vAlign w:val="center"/>
          </w:tcPr>
          <w:p w:rsidP="30A512F6" w14:paraId="2A3B5BF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$32.35</w:t>
            </w:r>
          </w:p>
        </w:tc>
        <w:tc>
          <w:tcPr>
            <w:tcW w:w="1320" w:type="dxa"/>
            <w:tcMar>
              <w:top w:w="80" w:type="dxa"/>
              <w:left w:w="100" w:type="dxa"/>
              <w:bottom w:w="80" w:type="dxa"/>
              <w:right w:w="100" w:type="dxa"/>
            </w:tcMar>
            <w:vAlign w:val="center"/>
          </w:tcPr>
          <w:p w:rsidP="30A512F6" w14:paraId="25216FC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$39.71</w:t>
            </w:r>
          </w:p>
        </w:tc>
        <w:tc>
          <w:tcPr>
            <w:tcW w:w="1320" w:type="dxa"/>
            <w:tcMar>
              <w:top w:w="80" w:type="dxa"/>
              <w:left w:w="100" w:type="dxa"/>
              <w:bottom w:w="80" w:type="dxa"/>
              <w:right w:w="100" w:type="dxa"/>
            </w:tcMar>
            <w:vAlign w:val="center"/>
          </w:tcPr>
          <w:p w:rsidP="30A512F6" w14:paraId="1D10549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$47.71</w:t>
            </w:r>
          </w:p>
        </w:tc>
        <w:tc>
          <w:tcPr>
            <w:tcW w:w="1320" w:type="dxa"/>
            <w:tcMar>
              <w:top w:w="80" w:type="dxa"/>
              <w:left w:w="100" w:type="dxa"/>
              <w:bottom w:w="80" w:type="dxa"/>
              <w:right w:w="100" w:type="dxa"/>
            </w:tcMar>
            <w:vAlign w:val="center"/>
          </w:tcPr>
          <w:p w:rsidP="30A512F6" w14:paraId="37AE6F8C"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$55.72</w:t>
            </w:r>
          </w:p>
        </w:tc>
        <w:tc>
          <w:tcPr>
            <w:tcW w:w="1320" w:type="dxa"/>
            <w:tcMar>
              <w:top w:w="80" w:type="dxa"/>
              <w:left w:w="100" w:type="dxa"/>
              <w:bottom w:w="80" w:type="dxa"/>
              <w:right w:w="100" w:type="dxa"/>
            </w:tcMar>
            <w:vAlign w:val="center"/>
          </w:tcPr>
          <w:p w:rsidP="30A512F6" w14:paraId="0BCD5D7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$62.99</w:t>
            </w:r>
          </w:p>
        </w:tc>
      </w:tr>
    </w:tbl>
    <w:p xmlns:wp14="http://schemas.microsoft.com/office/word/2010/wordml" w:rsidP="30A512F6" w14:paraId="03D42F6F" wp14:textId="4D60282F">
      <w:pPr>
        <w:spacing w:after="160" w:line="276" w:lineRule="auto"/>
        <w:jc w:val="both"/>
        <w:rPr>
          <w:rFonts w:ascii="Calibri" w:hAnsi="Calibri" w:eastAsia="Calibri" w:cs="Calibri"/>
          <w:color w:val="222222"/>
          <w:sz w:val="22"/>
          <w:szCs w:val="22"/>
        </w:rPr>
      </w:pPr>
    </w:p>
    <w:p xmlns:wp14="http://schemas.microsoft.com/office/word/2010/wordml" w:rsidP="30A512F6" w14:paraId="4523AEFC" wp14:textId="63CD2E50">
      <w:pPr>
        <w:spacing w:before="240" w:beforeAutospacing="off" w:after="240" w:afterAutospacing="off" w:line="276"/>
        <w:jc w:val="both"/>
      </w:pP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 xml:space="preserve">These projections </w:t>
      </w: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represent</w:t>
      </w: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 xml:space="preserve"> our base-case assumptions rather than Wall Street consensus estimates. The accompanying Scenario Analysis illustrates the potential range of outcomes with </w:t>
      </w:r>
      <w:r w:rsidRPr="30A512F6" w:rsidR="3949F1A6">
        <w:rPr>
          <w:rFonts w:ascii="Calibri" w:hAnsi="Calibri" w:eastAsia="Calibri" w:cs="Calibri"/>
          <w:b w:val="1"/>
          <w:bCs w:val="1"/>
          <w:i w:val="0"/>
          <w:iCs w:val="0"/>
          <w:caps w:val="0"/>
          <w:smallCaps w:val="0"/>
          <w:strike w:val="0"/>
          <w:dstrike w:val="0"/>
          <w:color w:val="000000"/>
          <w:sz w:val="22"/>
          <w:szCs w:val="22"/>
          <w:u w:val="none"/>
          <w:lang w:val="en-GB"/>
        </w:rPr>
        <w:t>FY2030E revenue spanning approximately $105 billion in the bear case to $176 billion in the bull case</w:t>
      </w: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 xml:space="preserve">. The primary drivers of this range are the pace of </w:t>
      </w:r>
      <w:r w:rsidRPr="30A512F6" w:rsidR="3949F1A6">
        <w:rPr>
          <w:rFonts w:ascii="Calibri" w:hAnsi="Calibri" w:eastAsia="Calibri" w:cs="Calibri"/>
          <w:b w:val="1"/>
          <w:bCs w:val="1"/>
          <w:i w:val="0"/>
          <w:iCs w:val="0"/>
          <w:caps w:val="0"/>
          <w:smallCaps w:val="0"/>
          <w:strike w:val="0"/>
          <w:dstrike w:val="0"/>
          <w:color w:val="000000"/>
          <w:sz w:val="22"/>
          <w:szCs w:val="22"/>
          <w:u w:val="none"/>
          <w:lang w:val="en-GB"/>
        </w:rPr>
        <w:t>GLP-1 growth normalization</w:t>
      </w: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 xml:space="preserve"> and the extent to which </w:t>
      </w:r>
      <w:r w:rsidRPr="30A512F6" w:rsidR="3949F1A6">
        <w:rPr>
          <w:rFonts w:ascii="Calibri" w:hAnsi="Calibri" w:eastAsia="Calibri" w:cs="Calibri"/>
          <w:b w:val="1"/>
          <w:bCs w:val="1"/>
          <w:i w:val="0"/>
          <w:iCs w:val="0"/>
          <w:caps w:val="0"/>
          <w:smallCaps w:val="0"/>
          <w:strike w:val="0"/>
          <w:dstrike w:val="0"/>
          <w:color w:val="000000"/>
          <w:sz w:val="22"/>
          <w:szCs w:val="22"/>
          <w:u w:val="none"/>
          <w:lang w:val="en-GB"/>
        </w:rPr>
        <w:t>margin expansion is sustained versus reaching a plateau</w:t>
      </w:r>
      <w:r w:rsidRPr="30A512F6" w:rsidR="3949F1A6">
        <w:rPr>
          <w:rFonts w:ascii="Calibri" w:hAnsi="Calibri" w:eastAsia="Calibri" w:cs="Calibri"/>
          <w:b w:val="0"/>
          <w:bCs w:val="0"/>
          <w:i w:val="0"/>
          <w:iCs w:val="0"/>
          <w:caps w:val="0"/>
          <w:smallCaps w:val="0"/>
          <w:strike w:val="0"/>
          <w:dstrike w:val="0"/>
          <w:color w:val="000000"/>
          <w:sz w:val="22"/>
          <w:szCs w:val="22"/>
          <w:u w:val="none"/>
          <w:lang w:val="en-GB"/>
        </w:rPr>
        <w:t>.</w:t>
      </w:r>
    </w:p>
    <w:p xmlns:wp14="http://schemas.microsoft.com/office/word/2010/wordml" w14:paraId="5A39BBE3" wp14:textId="77777777">
      <w:pPr>
        <w:spacing w:before="120" w:after="160"/>
        <w:jc w:val="center"/>
      </w:pPr>
      <w:r>
        <w:drawing>
          <wp:inline xmlns:wp14="http://schemas.microsoft.com/office/word/2010/wordprocessingDrawing" distT="0" distB="0" distL="0" distR="0" wp14:anchorId="1415724A" wp14:editId="7777777">
            <wp:extent cx="5905500" cy="2628900"/>
            <wp:effectExtent l="0" t="0" r="0" b="0"/>
            <wp:docPr id="727728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28900"/>
                    </a:xfrm>
                    <a:prstGeom prst="rect">
                      <a:avLst/>
                    </a:prstGeom>
                  </pic:spPr>
                </pic:pic>
              </a:graphicData>
            </a:graphic>
          </wp:inline>
        </w:drawing>
      </w:r>
    </w:p>
    <w:p xmlns:wp14="http://schemas.microsoft.com/office/word/2010/wordml" w14:paraId="41C8F396" wp14:textId="77777777">
      <w:r>
        <w:br w:type="page"/>
      </w:r>
    </w:p>
    <w:p xmlns:wp14="http://schemas.microsoft.com/office/word/2010/wordml" w:rsidP="30A512F6" w14:paraId="3B827731"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Valuation</w:t>
      </w:r>
    </w:p>
    <w:p xmlns:wp14="http://schemas.microsoft.com/office/word/2010/wordml" w:rsidP="30A512F6" w14:paraId="152F6612" wp14:textId="1E89D1CF">
      <w:pPr>
        <w:pStyle w:val="Heading2"/>
        <w:spacing w:before="240" w:after="120" w:line="276"/>
      </w:pPr>
      <w:r w:rsidRPr="30A512F6" w:rsidR="30A512F6">
        <w:rPr>
          <w:rFonts w:ascii="Calibri" w:hAnsi="Calibri" w:eastAsia="Calibri" w:cs="Calibri"/>
          <w:color w:val="45126B"/>
        </w:rPr>
        <w:t>Weighted Average Cost of Capital</w:t>
      </w:r>
    </w:p>
    <w:p w:rsidR="7012083A" w:rsidP="30A512F6" w:rsidRDefault="7012083A" w14:paraId="7311CAF8" w14:textId="73523438">
      <w:pPr>
        <w:spacing w:before="240" w:beforeAutospacing="off" w:after="240" w:afterAutospacing="off"/>
        <w:rPr>
          <w:b w:val="0"/>
          <w:bCs w:val="0"/>
          <w:i w:val="0"/>
          <w:iCs w:val="0"/>
          <w:caps w:val="0"/>
          <w:smallCaps w:val="0"/>
          <w:strike w:val="0"/>
          <w:dstrike w:val="0"/>
          <w:color w:val="000000"/>
          <w:sz w:val="22"/>
          <w:szCs w:val="22"/>
          <w:u w:val="none"/>
          <w:lang w:val="en-GB"/>
        </w:rPr>
      </w:pPr>
      <w:r w:rsidRPr="30A512F6" w:rsidR="7012083A">
        <w:rPr>
          <w:b w:val="0"/>
          <w:bCs w:val="0"/>
          <w:i w:val="0"/>
          <w:iCs w:val="0"/>
          <w:caps w:val="0"/>
          <w:smallCaps w:val="0"/>
          <w:strike w:val="0"/>
          <w:dstrike w:val="0"/>
          <w:color w:val="000000"/>
          <w:sz w:val="22"/>
          <w:szCs w:val="22"/>
          <w:u w:val="none"/>
          <w:lang w:val="en-GB"/>
        </w:rPr>
        <w:t xml:space="preserve">We estimate </w:t>
      </w:r>
      <w:r w:rsidRPr="30A512F6" w:rsidR="7012083A">
        <w:rPr>
          <w:b w:val="1"/>
          <w:bCs w:val="1"/>
          <w:i w:val="0"/>
          <w:iCs w:val="0"/>
          <w:caps w:val="0"/>
          <w:smallCaps w:val="0"/>
          <w:strike w:val="0"/>
          <w:dstrike w:val="0"/>
          <w:color w:val="000000"/>
          <w:sz w:val="22"/>
          <w:szCs w:val="22"/>
          <w:u w:val="none"/>
          <w:lang w:val="en-GB"/>
        </w:rPr>
        <w:t xml:space="preserve">Lilly’s WACC at 7.1% </w:t>
      </w:r>
      <w:r w:rsidRPr="30A512F6" w:rsidR="7012083A">
        <w:rPr>
          <w:b w:val="0"/>
          <w:bCs w:val="0"/>
          <w:i w:val="0"/>
          <w:iCs w:val="0"/>
          <w:caps w:val="0"/>
          <w:smallCaps w:val="0"/>
          <w:strike w:val="0"/>
          <w:dstrike w:val="0"/>
          <w:color w:val="000000"/>
          <w:sz w:val="22"/>
          <w:szCs w:val="22"/>
          <w:u w:val="none"/>
          <w:lang w:val="en-GB"/>
        </w:rPr>
        <w:t xml:space="preserve">based primarily on its cost of equity. The </w:t>
      </w:r>
      <w:r w:rsidRPr="30A512F6" w:rsidR="7012083A">
        <w:rPr>
          <w:b w:val="1"/>
          <w:bCs w:val="1"/>
          <w:i w:val="0"/>
          <w:iCs w:val="0"/>
          <w:caps w:val="0"/>
          <w:smallCaps w:val="0"/>
          <w:strike w:val="0"/>
          <w:dstrike w:val="0"/>
          <w:color w:val="000000"/>
          <w:sz w:val="22"/>
          <w:szCs w:val="22"/>
          <w:u w:val="none"/>
          <w:lang w:val="en-GB"/>
        </w:rPr>
        <w:t>7.25% cost of equity</w:t>
      </w:r>
      <w:r w:rsidRPr="30A512F6" w:rsidR="7012083A">
        <w:rPr>
          <w:b w:val="0"/>
          <w:bCs w:val="0"/>
          <w:i w:val="0"/>
          <w:iCs w:val="0"/>
          <w:caps w:val="0"/>
          <w:smallCaps w:val="0"/>
          <w:strike w:val="0"/>
          <w:dstrike w:val="0"/>
          <w:color w:val="000000"/>
          <w:sz w:val="22"/>
          <w:szCs w:val="22"/>
          <w:u w:val="none"/>
          <w:lang w:val="en-GB"/>
        </w:rPr>
        <w:t xml:space="preserve"> is derived using CAPM combining a </w:t>
      </w:r>
      <w:r w:rsidRPr="30A512F6" w:rsidR="7012083A">
        <w:rPr>
          <w:b w:val="1"/>
          <w:bCs w:val="1"/>
          <w:i w:val="0"/>
          <w:iCs w:val="0"/>
          <w:caps w:val="0"/>
          <w:smallCaps w:val="0"/>
          <w:strike w:val="0"/>
          <w:dstrike w:val="0"/>
          <w:color w:val="000000"/>
          <w:sz w:val="22"/>
          <w:szCs w:val="22"/>
          <w:u w:val="none"/>
          <w:lang w:val="en-GB"/>
        </w:rPr>
        <w:t>4.70% risk-free rate</w:t>
      </w:r>
      <w:r w:rsidRPr="30A512F6" w:rsidR="7012083A">
        <w:rPr>
          <w:b w:val="0"/>
          <w:bCs w:val="0"/>
          <w:i w:val="0"/>
          <w:iCs w:val="0"/>
          <w:caps w:val="0"/>
          <w:smallCaps w:val="0"/>
          <w:strike w:val="0"/>
          <w:dstrike w:val="0"/>
          <w:color w:val="000000"/>
          <w:sz w:val="22"/>
          <w:szCs w:val="22"/>
          <w:u w:val="none"/>
          <w:lang w:val="en-GB"/>
        </w:rPr>
        <w:t xml:space="preserve"> with a </w:t>
      </w:r>
      <w:r w:rsidRPr="30A512F6" w:rsidR="7012083A">
        <w:rPr>
          <w:b w:val="1"/>
          <w:bCs w:val="1"/>
          <w:i w:val="0"/>
          <w:iCs w:val="0"/>
          <w:caps w:val="0"/>
          <w:smallCaps w:val="0"/>
          <w:strike w:val="0"/>
          <w:dstrike w:val="0"/>
          <w:color w:val="000000"/>
          <w:sz w:val="22"/>
          <w:szCs w:val="22"/>
          <w:u w:val="none"/>
          <w:lang w:val="en-GB"/>
        </w:rPr>
        <w:t>0.51 beta</w:t>
      </w:r>
      <w:r w:rsidRPr="30A512F6" w:rsidR="7012083A">
        <w:rPr>
          <w:b w:val="0"/>
          <w:bCs w:val="0"/>
          <w:i w:val="0"/>
          <w:iCs w:val="0"/>
          <w:caps w:val="0"/>
          <w:smallCaps w:val="0"/>
          <w:strike w:val="0"/>
          <w:dstrike w:val="0"/>
          <w:color w:val="000000"/>
          <w:sz w:val="22"/>
          <w:szCs w:val="22"/>
          <w:u w:val="none"/>
          <w:lang w:val="en-GB"/>
        </w:rPr>
        <w:t xml:space="preserve"> and a </w:t>
      </w:r>
      <w:r w:rsidRPr="30A512F6" w:rsidR="7012083A">
        <w:rPr>
          <w:b w:val="1"/>
          <w:bCs w:val="1"/>
          <w:i w:val="0"/>
          <w:iCs w:val="0"/>
          <w:caps w:val="0"/>
          <w:smallCaps w:val="0"/>
          <w:strike w:val="0"/>
          <w:dstrike w:val="0"/>
          <w:color w:val="000000"/>
          <w:sz w:val="22"/>
          <w:szCs w:val="22"/>
          <w:u w:val="none"/>
          <w:lang w:val="en-GB"/>
        </w:rPr>
        <w:t>5.0% equity risk premium</w:t>
      </w:r>
      <w:r w:rsidRPr="30A512F6" w:rsidR="7012083A">
        <w:rPr>
          <w:b w:val="0"/>
          <w:bCs w:val="0"/>
          <w:i w:val="0"/>
          <w:iCs w:val="0"/>
          <w:caps w:val="0"/>
          <w:smallCaps w:val="0"/>
          <w:strike w:val="0"/>
          <w:dstrike w:val="0"/>
          <w:color w:val="000000"/>
          <w:sz w:val="22"/>
          <w:szCs w:val="22"/>
          <w:u w:val="none"/>
          <w:lang w:val="en-GB"/>
        </w:rPr>
        <w:t xml:space="preserve">. The </w:t>
      </w:r>
      <w:r w:rsidRPr="30A512F6" w:rsidR="7012083A">
        <w:rPr>
          <w:b w:val="1"/>
          <w:bCs w:val="1"/>
          <w:i w:val="0"/>
          <w:iCs w:val="0"/>
          <w:caps w:val="0"/>
          <w:smallCaps w:val="0"/>
          <w:strike w:val="0"/>
          <w:dstrike w:val="0"/>
          <w:color w:val="000000"/>
          <w:sz w:val="22"/>
          <w:szCs w:val="22"/>
          <w:u w:val="none"/>
          <w:lang w:val="en-GB"/>
        </w:rPr>
        <w:t>after-tax cost of debt is 4.38% that is</w:t>
      </w:r>
      <w:r w:rsidRPr="30A512F6" w:rsidR="7012083A">
        <w:rPr>
          <w:b w:val="0"/>
          <w:bCs w:val="0"/>
          <w:i w:val="0"/>
          <w:iCs w:val="0"/>
          <w:caps w:val="0"/>
          <w:smallCaps w:val="0"/>
          <w:strike w:val="0"/>
          <w:dstrike w:val="0"/>
          <w:color w:val="000000"/>
          <w:sz w:val="22"/>
          <w:szCs w:val="22"/>
          <w:u w:val="none"/>
          <w:lang w:val="en-GB"/>
        </w:rPr>
        <w:t xml:space="preserve"> based on a </w:t>
      </w:r>
      <w:r w:rsidRPr="30A512F6" w:rsidR="7012083A">
        <w:rPr>
          <w:b w:val="1"/>
          <w:bCs w:val="1"/>
          <w:i w:val="0"/>
          <w:iCs w:val="0"/>
          <w:caps w:val="0"/>
          <w:smallCaps w:val="0"/>
          <w:strike w:val="0"/>
          <w:dstrike w:val="0"/>
          <w:color w:val="000000"/>
          <w:sz w:val="22"/>
          <w:szCs w:val="22"/>
          <w:u w:val="none"/>
          <w:lang w:val="en-GB"/>
        </w:rPr>
        <w:t>5.38% pre-tax borrowing cost</w:t>
      </w:r>
      <w:r w:rsidRPr="30A512F6" w:rsidR="7012083A">
        <w:rPr>
          <w:b w:val="0"/>
          <w:bCs w:val="0"/>
          <w:i w:val="0"/>
          <w:iCs w:val="0"/>
          <w:caps w:val="0"/>
          <w:smallCaps w:val="0"/>
          <w:strike w:val="0"/>
          <w:dstrike w:val="0"/>
          <w:color w:val="000000"/>
          <w:sz w:val="22"/>
          <w:szCs w:val="22"/>
          <w:u w:val="none"/>
          <w:lang w:val="en-GB"/>
        </w:rPr>
        <w:t xml:space="preserve"> derived from the yield-to-maturity of Lilly’s 2049 bond and adjusted for an </w:t>
      </w:r>
      <w:r w:rsidRPr="30A512F6" w:rsidR="7012083A">
        <w:rPr>
          <w:b w:val="1"/>
          <w:bCs w:val="1"/>
          <w:i w:val="0"/>
          <w:iCs w:val="0"/>
          <w:caps w:val="0"/>
          <w:smallCaps w:val="0"/>
          <w:strike w:val="0"/>
          <w:dstrike w:val="0"/>
          <w:color w:val="000000"/>
          <w:sz w:val="22"/>
          <w:szCs w:val="22"/>
          <w:u w:val="none"/>
          <w:lang w:val="en-GB"/>
        </w:rPr>
        <w:t>18.5% effective tax rate</w:t>
      </w:r>
      <w:r w:rsidRPr="30A512F6" w:rsidR="7012083A">
        <w:rPr>
          <w:b w:val="0"/>
          <w:bCs w:val="0"/>
          <w:i w:val="0"/>
          <w:iCs w:val="0"/>
          <w:caps w:val="0"/>
          <w:smallCaps w:val="0"/>
          <w:strike w:val="0"/>
          <w:dstrike w:val="0"/>
          <w:color w:val="000000"/>
          <w:sz w:val="22"/>
          <w:szCs w:val="22"/>
          <w:u w:val="none"/>
          <w:lang w:val="en-GB"/>
        </w:rPr>
        <w:t xml:space="preserve">. Given Lilly’s relatively low debt burden compared with its market capitalization, the capital structure is weighted approximately </w:t>
      </w:r>
      <w:r w:rsidRPr="30A512F6" w:rsidR="7012083A">
        <w:rPr>
          <w:b w:val="1"/>
          <w:bCs w:val="1"/>
          <w:i w:val="0"/>
          <w:iCs w:val="0"/>
          <w:caps w:val="0"/>
          <w:smallCaps w:val="0"/>
          <w:strike w:val="0"/>
          <w:dstrike w:val="0"/>
          <w:color w:val="000000"/>
          <w:sz w:val="22"/>
          <w:szCs w:val="22"/>
          <w:u w:val="none"/>
          <w:lang w:val="en-GB"/>
        </w:rPr>
        <w:t>96% toward equity and 4% toward debt</w:t>
      </w:r>
      <w:r w:rsidRPr="30A512F6" w:rsidR="7012083A">
        <w:rPr>
          <w:b w:val="0"/>
          <w:bCs w:val="0"/>
          <w:i w:val="0"/>
          <w:iCs w:val="0"/>
          <w:caps w:val="0"/>
          <w:smallCaps w:val="0"/>
          <w:strike w:val="0"/>
          <w:dstrike w:val="0"/>
          <w:color w:val="000000"/>
          <w:sz w:val="22"/>
          <w:szCs w:val="22"/>
          <w:u w:val="none"/>
          <w:lang w:val="en-GB"/>
        </w:rPr>
        <w:t>.</w:t>
      </w:r>
    </w:p>
    <w:p w:rsidR="6E12EB0D" w:rsidP="30A512F6" w:rsidRDefault="6E12EB0D" w14:paraId="0E346A62" w14:textId="30C04E69">
      <w:pPr>
        <w:spacing w:before="240" w:beforeAutospacing="off" w:after="240" w:afterAutospacing="off"/>
        <w:jc w:val="both"/>
        <w:rPr>
          <w:rFonts w:ascii="Calibri" w:hAnsi="Calibri" w:eastAsia="Calibri" w:cs="Calibri"/>
          <w:b w:val="0"/>
          <w:bCs w:val="0"/>
          <w:i w:val="0"/>
          <w:iCs w:val="0"/>
          <w:caps w:val="0"/>
          <w:smallCaps w:val="0"/>
          <w:strike w:val="0"/>
          <w:dstrike w:val="0"/>
          <w:color w:val="000000"/>
          <w:sz w:val="22"/>
          <w:szCs w:val="22"/>
          <w:u w:val="none"/>
          <w:lang w:val="en-GB"/>
        </w:rPr>
      </w:pPr>
      <w:r w:rsidRPr="30A512F6" w:rsidR="6E12EB0D">
        <w:rPr>
          <w:rFonts w:ascii="Calibri" w:hAnsi="Calibri" w:eastAsia="Calibri" w:cs="Calibri"/>
          <w:b w:val="0"/>
          <w:bCs w:val="0"/>
          <w:i w:val="0"/>
          <w:iCs w:val="0"/>
          <w:caps w:val="0"/>
          <w:smallCaps w:val="0"/>
          <w:strike w:val="0"/>
          <w:dstrike w:val="0"/>
          <w:color w:val="000000"/>
          <w:sz w:val="22"/>
          <w:szCs w:val="22"/>
          <w:u w:val="none"/>
          <w:lang w:val="en-GB"/>
        </w:rPr>
        <w:t xml:space="preserve">One key assumption warrants closer scrutiny: </w:t>
      </w:r>
      <w:r w:rsidRPr="30A512F6" w:rsidR="6E12EB0D">
        <w:rPr>
          <w:rFonts w:ascii="Calibri" w:hAnsi="Calibri" w:eastAsia="Calibri" w:cs="Calibri"/>
          <w:b w:val="1"/>
          <w:bCs w:val="1"/>
          <w:i w:val="0"/>
          <w:iCs w:val="0"/>
          <w:caps w:val="0"/>
          <w:smallCaps w:val="0"/>
          <w:strike w:val="0"/>
          <w:dstrike w:val="0"/>
          <w:color w:val="000000"/>
          <w:sz w:val="22"/>
          <w:szCs w:val="22"/>
          <w:u w:val="none"/>
          <w:lang w:val="en-GB"/>
        </w:rPr>
        <w:t xml:space="preserve">LLY’s 0.51 beta appears unusually low relative to the stock’s recent price volatility </w:t>
      </w:r>
      <w:r w:rsidRPr="30A512F6" w:rsidR="6E12EB0D">
        <w:rPr>
          <w:rFonts w:ascii="Calibri" w:hAnsi="Calibri" w:eastAsia="Calibri" w:cs="Calibri"/>
          <w:b w:val="0"/>
          <w:bCs w:val="0"/>
          <w:i w:val="0"/>
          <w:iCs w:val="0"/>
          <w:caps w:val="0"/>
          <w:smallCaps w:val="0"/>
          <w:strike w:val="0"/>
          <w:dstrike w:val="0"/>
          <w:color w:val="000000"/>
          <w:sz w:val="22"/>
          <w:szCs w:val="22"/>
          <w:u w:val="none"/>
          <w:lang w:val="en-GB"/>
        </w:rPr>
        <w:t xml:space="preserve">with the shares ranging from approximately </w:t>
      </w:r>
      <w:r w:rsidRPr="30A512F6" w:rsidR="6E12EB0D">
        <w:rPr>
          <w:rFonts w:ascii="Calibri" w:hAnsi="Calibri" w:eastAsia="Calibri" w:cs="Calibri"/>
          <w:b w:val="1"/>
          <w:bCs w:val="1"/>
          <w:i w:val="0"/>
          <w:iCs w:val="0"/>
          <w:caps w:val="0"/>
          <w:smallCaps w:val="0"/>
          <w:strike w:val="0"/>
          <w:dstrike w:val="0"/>
          <w:color w:val="000000"/>
          <w:sz w:val="22"/>
          <w:szCs w:val="22"/>
          <w:u w:val="none"/>
          <w:lang w:val="en-GB"/>
        </w:rPr>
        <w:t xml:space="preserve">$685 to $1,249 </w:t>
      </w:r>
      <w:r w:rsidRPr="30A512F6" w:rsidR="6E12EB0D">
        <w:rPr>
          <w:rFonts w:ascii="Calibri" w:hAnsi="Calibri" w:eastAsia="Calibri" w:cs="Calibri"/>
          <w:b w:val="0"/>
          <w:bCs w:val="0"/>
          <w:i w:val="0"/>
          <w:iCs w:val="0"/>
          <w:caps w:val="0"/>
          <w:smallCaps w:val="0"/>
          <w:strike w:val="0"/>
          <w:dstrike w:val="0"/>
          <w:color w:val="000000"/>
          <w:sz w:val="22"/>
          <w:szCs w:val="22"/>
          <w:u w:val="none"/>
          <w:lang w:val="en-GB"/>
        </w:rPr>
        <w:t>over the past 52 weeks because a lower beta reduces the CAPM-derived cost of equity, it also lowers WACC and all else equal, raises the DCF-implied valuation. We therefore do not treat the CAPM output as definitive</w:t>
      </w:r>
      <w:r w:rsidRPr="30A512F6" w:rsidR="1E32C96C">
        <w:rPr>
          <w:rFonts w:ascii="Calibri" w:hAnsi="Calibri" w:eastAsia="Calibri" w:cs="Calibri"/>
          <w:b w:val="0"/>
          <w:bCs w:val="0"/>
          <w:i w:val="0"/>
          <w:iCs w:val="0"/>
          <w:caps w:val="0"/>
          <w:smallCaps w:val="0"/>
          <w:strike w:val="0"/>
          <w:dstrike w:val="0"/>
          <w:color w:val="000000"/>
          <w:sz w:val="22"/>
          <w:szCs w:val="22"/>
          <w:u w:val="none"/>
          <w:lang w:val="en-GB"/>
        </w:rPr>
        <w:t xml:space="preserve"> but </w:t>
      </w:r>
      <w:r w:rsidRPr="30A512F6" w:rsidR="6E12EB0D">
        <w:rPr>
          <w:rFonts w:ascii="Calibri" w:hAnsi="Calibri" w:eastAsia="Calibri" w:cs="Calibri"/>
          <w:b w:val="0"/>
          <w:bCs w:val="0"/>
          <w:i w:val="0"/>
          <w:iCs w:val="0"/>
          <w:caps w:val="0"/>
          <w:smallCaps w:val="0"/>
          <w:strike w:val="0"/>
          <w:dstrike w:val="0"/>
          <w:color w:val="000000"/>
          <w:sz w:val="22"/>
          <w:szCs w:val="22"/>
          <w:u w:val="none"/>
          <w:lang w:val="en-GB"/>
        </w:rPr>
        <w:t xml:space="preserve">instead, the accompanying </w:t>
      </w:r>
      <w:r w:rsidRPr="30A512F6" w:rsidR="6E12EB0D">
        <w:rPr>
          <w:rFonts w:ascii="Calibri" w:hAnsi="Calibri" w:eastAsia="Calibri" w:cs="Calibri"/>
          <w:b w:val="1"/>
          <w:bCs w:val="1"/>
          <w:i w:val="0"/>
          <w:iCs w:val="0"/>
          <w:caps w:val="0"/>
          <w:smallCaps w:val="0"/>
          <w:strike w:val="0"/>
          <w:dstrike w:val="0"/>
          <w:color w:val="000000"/>
          <w:sz w:val="22"/>
          <w:szCs w:val="22"/>
          <w:u w:val="none"/>
          <w:lang w:val="en-GB"/>
        </w:rPr>
        <w:t>Sensitivity Analysis explicitly</w:t>
      </w:r>
      <w:r w:rsidRPr="30A512F6" w:rsidR="6E12EB0D">
        <w:rPr>
          <w:rFonts w:ascii="Calibri" w:hAnsi="Calibri" w:eastAsia="Calibri" w:cs="Calibri"/>
          <w:b w:val="0"/>
          <w:bCs w:val="0"/>
          <w:i w:val="0"/>
          <w:iCs w:val="0"/>
          <w:caps w:val="0"/>
          <w:smallCaps w:val="0"/>
          <w:strike w:val="0"/>
          <w:dstrike w:val="0"/>
          <w:color w:val="000000"/>
          <w:sz w:val="22"/>
          <w:szCs w:val="22"/>
          <w:u w:val="none"/>
          <w:lang w:val="en-GB"/>
        </w:rPr>
        <w:t xml:space="preserve"> tests alternative beta and WACC assumptions to assess how robust the valuation is to this input.</w:t>
      </w:r>
    </w:p>
    <w:p w:rsidR="30A512F6" w:rsidP="30A512F6" w:rsidRDefault="30A512F6" w14:paraId="24BA1601" w14:textId="0858C7F1">
      <w:pPr>
        <w:spacing w:after="160" w:line="276" w:lineRule="auto"/>
        <w:jc w:val="both"/>
        <w:rPr>
          <w:rFonts w:ascii="Calibri" w:hAnsi="Calibri" w:eastAsia="Calibri" w:cs="Calibri"/>
          <w:color w:val="222222"/>
          <w:sz w:val="21"/>
          <w:szCs w:val="21"/>
        </w:rPr>
      </w:pPr>
    </w:p>
    <w:p xmlns:wp14="http://schemas.microsoft.com/office/word/2010/wordml" w:rsidP="30A512F6" w14:paraId="357D395E" wp14:textId="77777777">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Discounted Cash Flow</w:t>
      </w:r>
    </w:p>
    <w:p xmlns:wp14="http://schemas.microsoft.com/office/word/2010/wordml" w:rsidP="30A512F6" w14:paraId="3A61D51F" wp14:textId="18C1460C">
      <w:pPr>
        <w:spacing w:before="240" w:beforeAutospacing="off" w:after="240" w:afterAutospacing="off" w:line="276"/>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 xml:space="preserve">Our DCF values Lilly by discounting </w:t>
      </w:r>
      <w:r w:rsidRPr="30A512F6" w:rsidR="3DE4798B">
        <w:rPr>
          <w:rFonts w:ascii="Calibri" w:hAnsi="Calibri" w:eastAsia="Calibri" w:cs="Calibri"/>
          <w:b w:val="1"/>
          <w:bCs w:val="1"/>
          <w:i w:val="0"/>
          <w:iCs w:val="0"/>
          <w:caps w:val="0"/>
          <w:smallCaps w:val="0"/>
          <w:strike w:val="0"/>
          <w:dstrike w:val="0"/>
          <w:noProof w:val="0"/>
          <w:color w:val="000000"/>
          <w:sz w:val="22"/>
          <w:szCs w:val="22"/>
          <w:u w:val="none"/>
          <w:lang w:val="en-US"/>
        </w:rPr>
        <w:t xml:space="preserve">unlevered free cash flow (NOPAT + D&amp;A − </w:t>
      </w:r>
      <w:r w:rsidRPr="30A512F6" w:rsidR="3DE4798B">
        <w:rPr>
          <w:rFonts w:ascii="Calibri" w:hAnsi="Calibri" w:eastAsia="Calibri" w:cs="Calibri"/>
          <w:b w:val="1"/>
          <w:bCs w:val="1"/>
          <w:i w:val="0"/>
          <w:iCs w:val="0"/>
          <w:caps w:val="0"/>
          <w:smallCaps w:val="0"/>
          <w:strike w:val="0"/>
          <w:dstrike w:val="0"/>
          <w:noProof w:val="0"/>
          <w:color w:val="000000"/>
          <w:sz w:val="22"/>
          <w:szCs w:val="22"/>
          <w:u w:val="none"/>
          <w:lang w:val="en-US"/>
        </w:rPr>
        <w:t>CapEx</w:t>
      </w:r>
      <w:r w:rsidRPr="30A512F6" w:rsidR="3DE4798B">
        <w:rPr>
          <w:rFonts w:ascii="Calibri" w:hAnsi="Calibri" w:eastAsia="Calibri" w:cs="Calibri"/>
          <w:b w:val="1"/>
          <w:bCs w:val="1"/>
          <w:i w:val="0"/>
          <w:iCs w:val="0"/>
          <w:caps w:val="0"/>
          <w:smallCaps w:val="0"/>
          <w:strike w:val="0"/>
          <w:dstrike w:val="0"/>
          <w:noProof w:val="0"/>
          <w:color w:val="000000"/>
          <w:sz w:val="22"/>
          <w:szCs w:val="22"/>
          <w:u w:val="none"/>
          <w:lang w:val="en-US"/>
        </w:rPr>
        <w:t xml:space="preserve"> − investment in net working capital)</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 xml:space="preserve"> over the FY2026E–FY2030E forecast period, followed by a </w:t>
      </w:r>
      <w:r w:rsidRPr="30A512F6" w:rsidR="3DE4798B">
        <w:rPr>
          <w:rFonts w:ascii="Calibri" w:hAnsi="Calibri" w:eastAsia="Calibri" w:cs="Calibri"/>
          <w:b w:val="1"/>
          <w:bCs w:val="1"/>
          <w:i w:val="0"/>
          <w:iCs w:val="0"/>
          <w:caps w:val="0"/>
          <w:smallCaps w:val="0"/>
          <w:strike w:val="0"/>
          <w:dstrike w:val="0"/>
          <w:noProof w:val="0"/>
          <w:color w:val="000000"/>
          <w:sz w:val="22"/>
          <w:szCs w:val="22"/>
          <w:u w:val="none"/>
          <w:lang w:val="en-US"/>
        </w:rPr>
        <w:t>Gordon Growth terminal value</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 xml:space="preserve">. We assume a </w:t>
      </w:r>
      <w:r w:rsidRPr="30A512F6" w:rsidR="3DE4798B">
        <w:rPr>
          <w:rFonts w:ascii="Calibri" w:hAnsi="Calibri" w:eastAsia="Calibri" w:cs="Calibri"/>
          <w:b w:val="1"/>
          <w:bCs w:val="1"/>
          <w:i w:val="0"/>
          <w:iCs w:val="0"/>
          <w:caps w:val="0"/>
          <w:smallCaps w:val="0"/>
          <w:strike w:val="0"/>
          <w:dstrike w:val="0"/>
          <w:noProof w:val="0"/>
          <w:color w:val="000000"/>
          <w:sz w:val="22"/>
          <w:szCs w:val="22"/>
          <w:u w:val="none"/>
          <w:lang w:val="en-US"/>
        </w:rPr>
        <w:t xml:space="preserve">3.0% perpetual growth rate </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 xml:space="preserve">reflecting a mature long-term growth rate modestly above expected nominal GDP growth. </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 xml:space="preserve">This approach recognizes Lilly’s current demand-driven growth cycle while assuming that </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dou</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ble</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-digit expansion is not sustainable indefinitely as the business matures</w:t>
      </w:r>
      <w:r w:rsidRPr="30A512F6" w:rsidR="3DE4798B">
        <w:rPr>
          <w:rFonts w:ascii="Calibri" w:hAnsi="Calibri" w:eastAsia="Calibri" w:cs="Calibri"/>
          <w:b w:val="0"/>
          <w:bCs w:val="0"/>
          <w:i w:val="0"/>
          <w:iCs w:val="0"/>
          <w:caps w:val="0"/>
          <w:smallCaps w:val="0"/>
          <w:strike w:val="0"/>
          <w:dstrike w:val="0"/>
          <w:noProof w:val="0"/>
          <w:color w:val="000000"/>
          <w:sz w:val="22"/>
          <w:szCs w:val="22"/>
          <w:u w:val="none"/>
          <w:lang w:val="en-US"/>
        </w:rPr>
        <w:t>.</w:t>
      </w:r>
    </w:p>
    <w:p w:rsidR="30A512F6" w:rsidP="30A512F6" w:rsidRDefault="30A512F6" w14:paraId="3D71A99F" w14:textId="562756AC">
      <w:pPr>
        <w:spacing w:after="160" w:line="276" w:lineRule="auto"/>
        <w:jc w:val="both"/>
        <w:rPr>
          <w:rFonts w:ascii="Calibri" w:hAnsi="Calibri" w:eastAsia="Calibri" w:cs="Calibri"/>
          <w:color w:val="222222"/>
          <w:sz w:val="21"/>
          <w:szCs w:val="21"/>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xmlns:wp14="http://schemas.microsoft.com/office/word/2010/wordml" w:rsidTr="30A512F6" w14:paraId="131FACC6" wp14:textId="77777777">
        <w:trPr>
          <w:tblHeader/>
        </w:trPr>
        <w:tc>
          <w:tcPr>
            <w:tcW w:w="5760" w:type="dxa"/>
            <w:shd w:val="clear" w:color="auto" w:fill="0B2E33"/>
            <w:tcMar>
              <w:top w:w="80" w:type="dxa"/>
              <w:left w:w="100" w:type="dxa"/>
              <w:bottom w:w="80" w:type="dxa"/>
              <w:right w:w="100" w:type="dxa"/>
            </w:tcMar>
            <w:vAlign w:val="center"/>
          </w:tcPr>
          <w:p w:rsidP="30A512F6" w14:paraId="034A4D40"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DCF Output</w:t>
            </w:r>
          </w:p>
        </w:tc>
        <w:tc>
          <w:tcPr>
            <w:tcW w:w="3600" w:type="dxa"/>
            <w:shd w:val="clear" w:color="auto" w:fill="0B2E33"/>
            <w:tcMar>
              <w:top w:w="80" w:type="dxa"/>
              <w:left w:w="100" w:type="dxa"/>
              <w:bottom w:w="80" w:type="dxa"/>
              <w:right w:w="100" w:type="dxa"/>
            </w:tcMar>
            <w:vAlign w:val="center"/>
          </w:tcPr>
          <w:p w:rsidP="30A512F6" w14:paraId="1628354A"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Value</w:t>
            </w:r>
          </w:p>
        </w:tc>
      </w:tr>
      <w:tr xmlns:wp14="http://schemas.microsoft.com/office/word/2010/wordml" w:rsidTr="30A512F6" w14:paraId="35F743B5" wp14:textId="77777777">
        <w:tc>
          <w:tcPr>
            <w:tcW w:w="5760" w:type="dxa"/>
            <w:tcMar>
              <w:top w:w="80" w:type="dxa"/>
              <w:left w:w="100" w:type="dxa"/>
              <w:bottom w:w="80" w:type="dxa"/>
              <w:right w:w="100" w:type="dxa"/>
            </w:tcMar>
            <w:vAlign w:val="center"/>
          </w:tcPr>
          <w:p w:rsidP="30A512F6" w14:paraId="7C0A745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Sum of PV of Explicit FCF (FY26E-30E)</w:t>
            </w:r>
          </w:p>
        </w:tc>
        <w:tc>
          <w:tcPr>
            <w:tcW w:w="3600" w:type="dxa"/>
            <w:tcMar>
              <w:top w:w="80" w:type="dxa"/>
              <w:left w:w="100" w:type="dxa"/>
              <w:bottom w:w="80" w:type="dxa"/>
              <w:right w:w="100" w:type="dxa"/>
            </w:tcMar>
            <w:vAlign w:val="center"/>
          </w:tcPr>
          <w:p w:rsidP="30A512F6" w14:paraId="5CD0271E"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$150.5 billion</w:t>
            </w:r>
          </w:p>
        </w:tc>
      </w:tr>
      <w:tr xmlns:wp14="http://schemas.microsoft.com/office/word/2010/wordml" w:rsidTr="30A512F6" w14:paraId="0E7E09A3" wp14:textId="77777777">
        <w:tc>
          <w:tcPr>
            <w:tcW w:w="5760" w:type="dxa"/>
            <w:shd w:val="clear" w:color="auto" w:fill="EAF3F3"/>
            <w:tcMar>
              <w:top w:w="80" w:type="dxa"/>
              <w:left w:w="100" w:type="dxa"/>
              <w:bottom w:w="80" w:type="dxa"/>
              <w:right w:w="100" w:type="dxa"/>
            </w:tcMar>
            <w:vAlign w:val="center"/>
          </w:tcPr>
          <w:p w:rsidP="30A512F6" w14:paraId="4018D7E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PV of Terminal Value</w:t>
            </w:r>
          </w:p>
        </w:tc>
        <w:tc>
          <w:tcPr>
            <w:tcW w:w="3600" w:type="dxa"/>
            <w:shd w:val="clear" w:color="auto" w:fill="EAF3F3"/>
            <w:tcMar>
              <w:top w:w="80" w:type="dxa"/>
              <w:left w:w="100" w:type="dxa"/>
              <w:bottom w:w="80" w:type="dxa"/>
              <w:right w:w="100" w:type="dxa"/>
            </w:tcMar>
            <w:vAlign w:val="center"/>
          </w:tcPr>
          <w:p w:rsidP="30A512F6" w14:paraId="1A9E628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$914.6 billion</w:t>
            </w:r>
          </w:p>
        </w:tc>
      </w:tr>
      <w:tr xmlns:wp14="http://schemas.microsoft.com/office/word/2010/wordml" w:rsidTr="30A512F6" w14:paraId="4B86BEF8" wp14:textId="77777777">
        <w:tc>
          <w:tcPr>
            <w:tcW w:w="5760" w:type="dxa"/>
            <w:tcMar>
              <w:top w:w="80" w:type="dxa"/>
              <w:left w:w="100" w:type="dxa"/>
              <w:bottom w:w="80" w:type="dxa"/>
              <w:right w:w="100" w:type="dxa"/>
            </w:tcMar>
            <w:vAlign w:val="center"/>
          </w:tcPr>
          <w:p w:rsidP="30A512F6" w14:paraId="20CDD566"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Enterprise Value</w:t>
            </w:r>
          </w:p>
        </w:tc>
        <w:tc>
          <w:tcPr>
            <w:tcW w:w="3600" w:type="dxa"/>
            <w:tcMar>
              <w:top w:w="80" w:type="dxa"/>
              <w:left w:w="100" w:type="dxa"/>
              <w:bottom w:w="80" w:type="dxa"/>
              <w:right w:w="100" w:type="dxa"/>
            </w:tcMar>
            <w:vAlign w:val="center"/>
          </w:tcPr>
          <w:p w:rsidP="30A512F6" w14:paraId="399591F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$1,065.2 billion</w:t>
            </w:r>
          </w:p>
        </w:tc>
      </w:tr>
      <w:tr xmlns:wp14="http://schemas.microsoft.com/office/word/2010/wordml" w:rsidTr="30A512F6" w14:paraId="4C93457D" wp14:textId="77777777">
        <w:tc>
          <w:tcPr>
            <w:tcW w:w="5760" w:type="dxa"/>
            <w:shd w:val="clear" w:color="auto" w:fill="EAF3F3"/>
            <w:tcMar>
              <w:top w:w="80" w:type="dxa"/>
              <w:left w:w="100" w:type="dxa"/>
              <w:bottom w:w="80" w:type="dxa"/>
              <w:right w:w="100" w:type="dxa"/>
            </w:tcMar>
            <w:vAlign w:val="center"/>
          </w:tcPr>
          <w:p w:rsidP="30A512F6" w14:paraId="2F912D75"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Less: Total Debt</w:t>
            </w:r>
          </w:p>
        </w:tc>
        <w:tc>
          <w:tcPr>
            <w:tcW w:w="3600" w:type="dxa"/>
            <w:shd w:val="clear" w:color="auto" w:fill="EAF3F3"/>
            <w:tcMar>
              <w:top w:w="80" w:type="dxa"/>
              <w:left w:w="100" w:type="dxa"/>
              <w:bottom w:w="80" w:type="dxa"/>
              <w:right w:w="100" w:type="dxa"/>
            </w:tcMar>
            <w:vAlign w:val="center"/>
          </w:tcPr>
          <w:p w:rsidP="30A512F6" w14:paraId="61CB6C0E"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($42.5 billion)</w:t>
            </w:r>
          </w:p>
        </w:tc>
      </w:tr>
      <w:tr xmlns:wp14="http://schemas.microsoft.com/office/word/2010/wordml" w:rsidTr="30A512F6" w14:paraId="51071928" wp14:textId="77777777">
        <w:tc>
          <w:tcPr>
            <w:tcW w:w="5760" w:type="dxa"/>
            <w:tcMar>
              <w:top w:w="80" w:type="dxa"/>
              <w:left w:w="100" w:type="dxa"/>
              <w:bottom w:w="80" w:type="dxa"/>
              <w:right w:w="100" w:type="dxa"/>
            </w:tcMar>
            <w:vAlign w:val="center"/>
          </w:tcPr>
          <w:p w:rsidP="30A512F6" w14:paraId="48F3EBC3"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Plus: Cash &amp; Investments</w:t>
            </w:r>
          </w:p>
        </w:tc>
        <w:tc>
          <w:tcPr>
            <w:tcW w:w="3600" w:type="dxa"/>
            <w:tcMar>
              <w:top w:w="80" w:type="dxa"/>
              <w:left w:w="100" w:type="dxa"/>
              <w:bottom w:w="80" w:type="dxa"/>
              <w:right w:w="100" w:type="dxa"/>
            </w:tcMar>
            <w:vAlign w:val="center"/>
          </w:tcPr>
          <w:p w:rsidP="30A512F6" w14:paraId="1EFBC959"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$7.3 billion</w:t>
            </w:r>
          </w:p>
        </w:tc>
      </w:tr>
      <w:tr xmlns:wp14="http://schemas.microsoft.com/office/word/2010/wordml" w:rsidTr="30A512F6" w14:paraId="1794713E" wp14:textId="77777777">
        <w:tc>
          <w:tcPr>
            <w:tcW w:w="5760" w:type="dxa"/>
            <w:shd w:val="clear" w:color="auto" w:fill="EAF3F3"/>
            <w:tcMar>
              <w:top w:w="80" w:type="dxa"/>
              <w:left w:w="100" w:type="dxa"/>
              <w:bottom w:w="80" w:type="dxa"/>
              <w:right w:w="100" w:type="dxa"/>
            </w:tcMar>
            <w:vAlign w:val="center"/>
          </w:tcPr>
          <w:p w:rsidP="30A512F6" w14:paraId="7D1568CC"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Equity Value</w:t>
            </w:r>
          </w:p>
        </w:tc>
        <w:tc>
          <w:tcPr>
            <w:tcW w:w="3600" w:type="dxa"/>
            <w:shd w:val="clear" w:color="auto" w:fill="EAF3F3"/>
            <w:tcMar>
              <w:top w:w="80" w:type="dxa"/>
              <w:left w:w="100" w:type="dxa"/>
              <w:bottom w:w="80" w:type="dxa"/>
              <w:right w:w="100" w:type="dxa"/>
            </w:tcMar>
            <w:vAlign w:val="center"/>
          </w:tcPr>
          <w:p w:rsidP="30A512F6" w14:paraId="29B4D31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$1,030.0 billion</w:t>
            </w:r>
          </w:p>
        </w:tc>
      </w:tr>
      <w:tr xmlns:wp14="http://schemas.microsoft.com/office/word/2010/wordml" w:rsidTr="30A512F6" w14:paraId="2A4B0CDF" wp14:textId="77777777">
        <w:tc>
          <w:tcPr>
            <w:tcW w:w="5760" w:type="dxa"/>
            <w:tcMar>
              <w:top w:w="80" w:type="dxa"/>
              <w:left w:w="100" w:type="dxa"/>
              <w:bottom w:w="80" w:type="dxa"/>
              <w:right w:w="100" w:type="dxa"/>
            </w:tcMar>
            <w:vAlign w:val="center"/>
          </w:tcPr>
          <w:p w:rsidP="30A512F6" w14:paraId="69C2F302"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Implied Share Price</w:t>
            </w:r>
          </w:p>
        </w:tc>
        <w:tc>
          <w:tcPr>
            <w:tcW w:w="3600" w:type="dxa"/>
            <w:tcMar>
              <w:top w:w="80" w:type="dxa"/>
              <w:left w:w="100" w:type="dxa"/>
              <w:bottom w:w="80" w:type="dxa"/>
              <w:right w:w="100" w:type="dxa"/>
            </w:tcMar>
            <w:vAlign w:val="center"/>
          </w:tcPr>
          <w:p w:rsidP="30A512F6" w14:paraId="3A8145F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$1,155.03</w:t>
            </w:r>
          </w:p>
        </w:tc>
      </w:tr>
      <w:tr xmlns:wp14="http://schemas.microsoft.com/office/word/2010/wordml" w:rsidTr="30A512F6" w14:paraId="3E7F9EE4" wp14:textId="77777777">
        <w:tc>
          <w:tcPr>
            <w:tcW w:w="5760" w:type="dxa"/>
            <w:shd w:val="clear" w:color="auto" w:fill="EAF3F3"/>
            <w:tcMar>
              <w:top w:w="80" w:type="dxa"/>
              <w:left w:w="100" w:type="dxa"/>
              <w:bottom w:w="80" w:type="dxa"/>
              <w:right w:w="100" w:type="dxa"/>
            </w:tcMar>
            <w:vAlign w:val="center"/>
          </w:tcPr>
          <w:p w:rsidP="30A512F6" w14:paraId="3D521858"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Implied Upside / (Downside)</w:t>
            </w:r>
          </w:p>
        </w:tc>
        <w:tc>
          <w:tcPr>
            <w:tcW w:w="3600" w:type="dxa"/>
            <w:shd w:val="clear" w:color="auto" w:fill="EAF3F3"/>
            <w:tcMar>
              <w:top w:w="80" w:type="dxa"/>
              <w:left w:w="100" w:type="dxa"/>
              <w:bottom w:w="80" w:type="dxa"/>
              <w:right w:w="100" w:type="dxa"/>
            </w:tcMar>
            <w:vAlign w:val="center"/>
          </w:tcPr>
          <w:p w:rsidP="30A512F6" w14:paraId="57F8EB40"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(2.1%)</w:t>
            </w:r>
          </w:p>
        </w:tc>
      </w:tr>
    </w:tbl>
    <w:p xmlns:wp14="http://schemas.microsoft.com/office/word/2010/wordml" w:rsidP="30A512F6" w14:paraId="66C9B444" wp14:textId="6DC9CFCC">
      <w:pPr>
        <w:spacing w:after="160" w:line="276" w:lineRule="auto"/>
        <w:jc w:val="both"/>
        <w:rPr>
          <w:rFonts w:ascii="Calibri" w:hAnsi="Calibri" w:eastAsia="Calibri" w:cs="Calibri"/>
          <w:color w:val="222222"/>
          <w:sz w:val="21"/>
          <w:szCs w:val="21"/>
        </w:rPr>
      </w:pPr>
    </w:p>
    <w:p w:rsidR="7C8E9E84" w:rsidP="30A512F6" w:rsidRDefault="7C8E9E84" w14:paraId="035237F0" w14:textId="1CD20B3E">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lang w:val="en-GB"/>
        </w:rPr>
      </w:pPr>
      <w:r w:rsidRPr="30A512F6" w:rsidR="7C8E9E84">
        <w:rPr>
          <w:rFonts w:ascii="Calibri" w:hAnsi="Calibri" w:eastAsia="Calibri" w:cs="Calibri"/>
          <w:b w:val="0"/>
          <w:bCs w:val="0"/>
          <w:i w:val="0"/>
          <w:iCs w:val="0"/>
          <w:caps w:val="0"/>
          <w:smallCaps w:val="0"/>
          <w:strike w:val="0"/>
          <w:dstrike w:val="0"/>
          <w:color w:val="000000"/>
          <w:sz w:val="22"/>
          <w:szCs w:val="22"/>
          <w:u w:val="none"/>
          <w:lang w:val="en-GB"/>
        </w:rPr>
        <w:t xml:space="preserve">The terminal value accounts for approximately 86% of total enterprise value in our DCF. While a high terminal-value contribution is expected for a company still experiencing elevated growth, it also highlights an important valuation risk: </w:t>
      </w:r>
      <w:r w:rsidRPr="30A512F6" w:rsidR="7C8E9E84">
        <w:rPr>
          <w:rFonts w:ascii="Calibri" w:hAnsi="Calibri" w:eastAsia="Calibri" w:cs="Calibri"/>
          <w:b w:val="1"/>
          <w:bCs w:val="1"/>
          <w:i w:val="0"/>
          <w:iCs w:val="0"/>
          <w:caps w:val="0"/>
          <w:smallCaps w:val="0"/>
          <w:strike w:val="0"/>
          <w:dstrike w:val="0"/>
          <w:color w:val="000000"/>
          <w:sz w:val="22"/>
          <w:szCs w:val="22"/>
          <w:u w:val="none"/>
          <w:lang w:val="en-GB"/>
        </w:rPr>
        <w:t>most of Lilly’s implied value depends on long-term assumptions beyond the explicit forecast period</w:t>
      </w:r>
      <w:r w:rsidRPr="30A512F6" w:rsidR="7C8E9E84">
        <w:rPr>
          <w:rFonts w:ascii="Calibri" w:hAnsi="Calibri" w:eastAsia="Calibri" w:cs="Calibri"/>
          <w:b w:val="0"/>
          <w:bCs w:val="0"/>
          <w:i w:val="0"/>
          <w:iCs w:val="0"/>
          <w:caps w:val="0"/>
          <w:smallCaps w:val="0"/>
          <w:strike w:val="0"/>
          <w:dstrike w:val="0"/>
          <w:color w:val="000000"/>
          <w:sz w:val="22"/>
          <w:szCs w:val="22"/>
          <w:u w:val="none"/>
          <w:lang w:val="en-GB"/>
        </w:rPr>
        <w:t xml:space="preserve"> rather than on </w:t>
      </w:r>
      <w:r w:rsidRPr="30A512F6" w:rsidR="7C8E9E84">
        <w:rPr>
          <w:rFonts w:ascii="Calibri" w:hAnsi="Calibri" w:eastAsia="Calibri" w:cs="Calibri"/>
          <w:b w:val="0"/>
          <w:bCs w:val="0"/>
          <w:i w:val="0"/>
          <w:iCs w:val="0"/>
          <w:caps w:val="0"/>
          <w:smallCaps w:val="0"/>
          <w:strike w:val="0"/>
          <w:dstrike w:val="0"/>
          <w:color w:val="000000"/>
          <w:sz w:val="22"/>
          <w:szCs w:val="22"/>
          <w:u w:val="none"/>
          <w:lang w:val="en-GB"/>
        </w:rPr>
        <w:t>near t</w:t>
      </w:r>
      <w:r w:rsidRPr="30A512F6" w:rsidR="7C8E9E84">
        <w:rPr>
          <w:rFonts w:ascii="Calibri" w:hAnsi="Calibri" w:eastAsia="Calibri" w:cs="Calibri"/>
          <w:b w:val="0"/>
          <w:bCs w:val="0"/>
          <w:i w:val="0"/>
          <w:iCs w:val="0"/>
          <w:caps w:val="0"/>
          <w:smallCaps w:val="0"/>
          <w:strike w:val="0"/>
          <w:dstrike w:val="0"/>
          <w:color w:val="000000"/>
          <w:sz w:val="22"/>
          <w:szCs w:val="22"/>
          <w:u w:val="none"/>
          <w:lang w:val="en-GB"/>
        </w:rPr>
        <w:t>erm cash flows that can be assessed with greater certainty.</w:t>
      </w:r>
    </w:p>
    <w:p xmlns:wp14="http://schemas.microsoft.com/office/word/2010/wordml" w:rsidP="30A512F6" w14:paraId="18E7E7AE" wp14:textId="77777777">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Trading Comparables</w:t>
      </w:r>
    </w:p>
    <w:p xmlns:wp14="http://schemas.microsoft.com/office/word/2010/wordml" w:rsidP="30A512F6" w14:paraId="1B1E8D1F" wp14:textId="6F8E3F26">
      <w:pPr>
        <w:spacing w:after="160" w:line="276" w:lineRule="auto"/>
        <w:jc w:val="both"/>
        <w:rPr>
          <w:rFonts w:ascii="Calibri" w:hAnsi="Calibri" w:eastAsia="Calibri" w:cs="Calibri"/>
          <w:color w:val="222222"/>
          <w:sz w:val="22"/>
          <w:szCs w:val="22"/>
          <w:lang w:val="en-GB"/>
        </w:rPr>
      </w:pPr>
      <w:r w:rsidRPr="30A512F6" w:rsidR="30A512F6">
        <w:rPr>
          <w:rFonts w:ascii="Calibri" w:hAnsi="Calibri" w:eastAsia="Calibri" w:cs="Calibri"/>
          <w:color w:val="222222"/>
          <w:sz w:val="22"/>
          <w:szCs w:val="22"/>
          <w:lang w:val="en-GB"/>
        </w:rPr>
        <w:t>We compare Lilly against four large-cap pharmaceutical peers: Novo Nordisk, Pfizer, Merck</w:t>
      </w:r>
      <w:r w:rsidRPr="30A512F6" w:rsidR="25F8678C">
        <w:rPr>
          <w:rFonts w:ascii="Calibri" w:hAnsi="Calibri" w:eastAsia="Calibri" w:cs="Calibri"/>
          <w:color w:val="222222"/>
          <w:sz w:val="22"/>
          <w:szCs w:val="22"/>
          <w:lang w:val="en-GB"/>
        </w:rPr>
        <w:t xml:space="preserve"> </w:t>
      </w:r>
      <w:r w:rsidRPr="30A512F6" w:rsidR="30A512F6">
        <w:rPr>
          <w:rFonts w:ascii="Calibri" w:hAnsi="Calibri" w:eastAsia="Calibri" w:cs="Calibri"/>
          <w:color w:val="222222"/>
          <w:sz w:val="22"/>
          <w:szCs w:val="22"/>
          <w:lang w:val="en-GB"/>
        </w:rPr>
        <w:t>and AbbVie.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2280"/>
        <w:gridCol w:w="2280"/>
      </w:tblGrid>
      <w:tr xmlns:wp14="http://schemas.microsoft.com/office/word/2010/wordml" w:rsidTr="30A512F6" w14:paraId="212FE6F6" wp14:textId="77777777">
        <w:trPr>
          <w:tblHeader/>
        </w:trPr>
        <w:tc>
          <w:tcPr>
            <w:tcW w:w="3360" w:type="dxa"/>
            <w:shd w:val="clear" w:color="auto" w:fill="0B2E33"/>
            <w:tcMar>
              <w:top w:w="80" w:type="dxa"/>
              <w:left w:w="100" w:type="dxa"/>
              <w:bottom w:w="80" w:type="dxa"/>
              <w:right w:w="100" w:type="dxa"/>
            </w:tcMar>
            <w:vAlign w:val="center"/>
          </w:tcPr>
          <w:p w14:paraId="0594955B" wp14:textId="77777777">
            <w:pPr>
              <w:jc w:val="left"/>
            </w:pPr>
            <w:r>
              <w:rPr>
                <w:rFonts w:ascii="Calibri" w:hAnsi="Calibri" w:eastAsia="Calibri" w:cs="Calibri"/>
                <w:b/>
                <w:bCs/>
                <w:color w:val="FFFFFF"/>
                <w:sz w:val="19"/>
                <w:szCs w:val="19"/>
              </w:rPr>
              <w:t xml:space="preserve">Company</w:t>
            </w:r>
          </w:p>
        </w:tc>
        <w:tc>
          <w:tcPr>
            <w:tcW w:w="1440" w:type="dxa"/>
            <w:shd w:val="clear" w:color="auto" w:fill="0B2E33"/>
            <w:tcMar>
              <w:top w:w="80" w:type="dxa"/>
              <w:left w:w="100" w:type="dxa"/>
              <w:bottom w:w="80" w:type="dxa"/>
              <w:right w:w="100" w:type="dxa"/>
            </w:tcMar>
            <w:vAlign w:val="center"/>
          </w:tcPr>
          <w:p w14:paraId="4C4C5D20" wp14:textId="77777777">
            <w:pPr>
              <w:jc w:val="center"/>
            </w:pPr>
            <w:r>
              <w:rPr>
                <w:rFonts w:ascii="Calibri" w:hAnsi="Calibri" w:eastAsia="Calibri" w:cs="Calibri"/>
                <w:b/>
                <w:bCs/>
                <w:color w:val="FFFFFF"/>
                <w:sz w:val="19"/>
                <w:szCs w:val="19"/>
              </w:rPr>
              <w:t xml:space="preserve">Ticker</w:t>
            </w:r>
          </w:p>
        </w:tc>
        <w:tc>
          <w:tcPr>
            <w:tcW w:w="2280" w:type="dxa"/>
            <w:shd w:val="clear" w:color="auto" w:fill="0B2E33"/>
            <w:tcMar>
              <w:top w:w="80" w:type="dxa"/>
              <w:left w:w="100" w:type="dxa"/>
              <w:bottom w:w="80" w:type="dxa"/>
              <w:right w:w="100" w:type="dxa"/>
            </w:tcMar>
            <w:vAlign w:val="center"/>
          </w:tcPr>
          <w:p w14:paraId="2AF74C36" wp14:textId="77777777">
            <w:pPr>
              <w:jc w:val="center"/>
            </w:pPr>
            <w:r>
              <w:rPr>
                <w:rFonts w:ascii="Calibri" w:hAnsi="Calibri" w:eastAsia="Calibri" w:cs="Calibri"/>
                <w:b/>
                <w:bCs/>
                <w:color w:val="FFFFFF"/>
                <w:sz w:val="19"/>
                <w:szCs w:val="19"/>
              </w:rPr>
              <w:t xml:space="preserve">P/E</w:t>
            </w:r>
          </w:p>
        </w:tc>
        <w:tc>
          <w:tcPr>
            <w:tcW w:w="2280" w:type="dxa"/>
            <w:shd w:val="clear" w:color="auto" w:fill="0B2E33"/>
            <w:tcMar>
              <w:top w:w="80" w:type="dxa"/>
              <w:left w:w="100" w:type="dxa"/>
              <w:bottom w:w="80" w:type="dxa"/>
              <w:right w:w="100" w:type="dxa"/>
            </w:tcMar>
            <w:vAlign w:val="center"/>
          </w:tcPr>
          <w:p w14:paraId="7A98E891" wp14:textId="77777777">
            <w:pPr>
              <w:jc w:val="center"/>
            </w:pPr>
            <w:r>
              <w:rPr>
                <w:rFonts w:ascii="Calibri" w:hAnsi="Calibri" w:eastAsia="Calibri" w:cs="Calibri"/>
                <w:b/>
                <w:bCs/>
                <w:color w:val="FFFFFF"/>
                <w:sz w:val="19"/>
                <w:szCs w:val="19"/>
              </w:rPr>
              <w:t xml:space="preserve">EV/EBITDA</w:t>
            </w:r>
          </w:p>
        </w:tc>
      </w:tr>
      <w:tr xmlns:wp14="http://schemas.microsoft.com/office/word/2010/wordml" w:rsidTr="30A512F6" w14:paraId="2BEF1EB8" wp14:textId="77777777">
        <w:tc>
          <w:tcPr>
            <w:tcW w:w="3360" w:type="dxa"/>
            <w:tcMar>
              <w:top w:w="80" w:type="dxa"/>
              <w:left w:w="100" w:type="dxa"/>
              <w:bottom w:w="80" w:type="dxa"/>
              <w:right w:w="100" w:type="dxa"/>
            </w:tcMar>
            <w:vAlign w:val="center"/>
          </w:tcPr>
          <w:p w:rsidP="30A512F6" w14:paraId="313CED5D"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Eli Lilly</w:t>
            </w:r>
          </w:p>
        </w:tc>
        <w:tc>
          <w:tcPr>
            <w:tcW w:w="1440" w:type="dxa"/>
            <w:tcMar>
              <w:top w:w="80" w:type="dxa"/>
              <w:left w:w="100" w:type="dxa"/>
              <w:bottom w:w="80" w:type="dxa"/>
              <w:right w:w="100" w:type="dxa"/>
            </w:tcMar>
            <w:vAlign w:val="center"/>
          </w:tcPr>
          <w:p w:rsidP="30A512F6" w14:paraId="667F489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LLY</w:t>
            </w:r>
          </w:p>
        </w:tc>
        <w:tc>
          <w:tcPr>
            <w:tcW w:w="2280" w:type="dxa"/>
            <w:tcMar>
              <w:top w:w="80" w:type="dxa"/>
              <w:left w:w="100" w:type="dxa"/>
              <w:bottom w:w="80" w:type="dxa"/>
              <w:right w:w="100" w:type="dxa"/>
            </w:tcMar>
            <w:vAlign w:val="center"/>
          </w:tcPr>
          <w:p w:rsidP="30A512F6" w14:paraId="6CBAE004"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32.4x</w:t>
            </w:r>
          </w:p>
        </w:tc>
        <w:tc>
          <w:tcPr>
            <w:tcW w:w="2280" w:type="dxa"/>
            <w:tcMar>
              <w:top w:w="80" w:type="dxa"/>
              <w:left w:w="100" w:type="dxa"/>
              <w:bottom w:w="80" w:type="dxa"/>
              <w:right w:w="100" w:type="dxa"/>
            </w:tcMar>
            <w:vAlign w:val="center"/>
          </w:tcPr>
          <w:p w:rsidP="30A512F6" w14:paraId="37847B3C"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31.5x</w:t>
            </w:r>
          </w:p>
        </w:tc>
      </w:tr>
      <w:tr xmlns:wp14="http://schemas.microsoft.com/office/word/2010/wordml" w:rsidTr="30A512F6" w14:paraId="7D0D2389" wp14:textId="77777777">
        <w:tc>
          <w:tcPr>
            <w:tcW w:w="3360" w:type="dxa"/>
            <w:shd w:val="clear" w:color="auto" w:fill="EAF3F3"/>
            <w:tcMar>
              <w:top w:w="80" w:type="dxa"/>
              <w:left w:w="100" w:type="dxa"/>
              <w:bottom w:w="80" w:type="dxa"/>
              <w:right w:w="100" w:type="dxa"/>
            </w:tcMar>
            <w:vAlign w:val="center"/>
          </w:tcPr>
          <w:p w:rsidP="30A512F6" w14:paraId="2CFA4841"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Novo Nordisk</w:t>
            </w:r>
          </w:p>
        </w:tc>
        <w:tc>
          <w:tcPr>
            <w:tcW w:w="1440" w:type="dxa"/>
            <w:shd w:val="clear" w:color="auto" w:fill="EAF3F3"/>
            <w:tcMar>
              <w:top w:w="80" w:type="dxa"/>
              <w:left w:w="100" w:type="dxa"/>
              <w:bottom w:w="80" w:type="dxa"/>
              <w:right w:w="100" w:type="dxa"/>
            </w:tcMar>
            <w:vAlign w:val="center"/>
          </w:tcPr>
          <w:p w:rsidP="30A512F6" w14:paraId="234BAB8E"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NVO</w:t>
            </w:r>
          </w:p>
        </w:tc>
        <w:tc>
          <w:tcPr>
            <w:tcW w:w="2280" w:type="dxa"/>
            <w:shd w:val="clear" w:color="auto" w:fill="EAF3F3"/>
            <w:tcMar>
              <w:top w:w="80" w:type="dxa"/>
              <w:left w:w="100" w:type="dxa"/>
              <w:bottom w:w="80" w:type="dxa"/>
              <w:right w:w="100" w:type="dxa"/>
            </w:tcMar>
            <w:vAlign w:val="center"/>
          </w:tcPr>
          <w:p w:rsidP="30A512F6" w14:paraId="4F3C7F1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14.3x</w:t>
            </w:r>
          </w:p>
        </w:tc>
        <w:tc>
          <w:tcPr>
            <w:tcW w:w="2280" w:type="dxa"/>
            <w:shd w:val="clear" w:color="auto" w:fill="EAF3F3"/>
            <w:tcMar>
              <w:top w:w="80" w:type="dxa"/>
              <w:left w:w="100" w:type="dxa"/>
              <w:bottom w:w="80" w:type="dxa"/>
              <w:right w:w="100" w:type="dxa"/>
            </w:tcMar>
            <w:vAlign w:val="center"/>
          </w:tcPr>
          <w:p w:rsidP="30A512F6" w14:paraId="6237A85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9.5x</w:t>
            </w:r>
          </w:p>
        </w:tc>
      </w:tr>
      <w:tr xmlns:wp14="http://schemas.microsoft.com/office/word/2010/wordml" w:rsidTr="30A512F6" w14:paraId="428955F8" wp14:textId="77777777">
        <w:tc>
          <w:tcPr>
            <w:tcW w:w="3360" w:type="dxa"/>
            <w:tcMar>
              <w:top w:w="80" w:type="dxa"/>
              <w:left w:w="100" w:type="dxa"/>
              <w:bottom w:w="80" w:type="dxa"/>
              <w:right w:w="100" w:type="dxa"/>
            </w:tcMar>
            <w:vAlign w:val="center"/>
          </w:tcPr>
          <w:p w:rsidP="30A512F6" w14:paraId="162A0429"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Pfizer</w:t>
            </w:r>
          </w:p>
        </w:tc>
        <w:tc>
          <w:tcPr>
            <w:tcW w:w="1440" w:type="dxa"/>
            <w:tcMar>
              <w:top w:w="80" w:type="dxa"/>
              <w:left w:w="100" w:type="dxa"/>
              <w:bottom w:w="80" w:type="dxa"/>
              <w:right w:w="100" w:type="dxa"/>
            </w:tcMar>
            <w:vAlign w:val="center"/>
          </w:tcPr>
          <w:p w:rsidP="30A512F6" w14:paraId="1077D34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PFE</w:t>
            </w:r>
          </w:p>
        </w:tc>
        <w:tc>
          <w:tcPr>
            <w:tcW w:w="2280" w:type="dxa"/>
            <w:tcMar>
              <w:top w:w="80" w:type="dxa"/>
              <w:left w:w="100" w:type="dxa"/>
              <w:bottom w:w="80" w:type="dxa"/>
              <w:right w:w="100" w:type="dxa"/>
            </w:tcMar>
            <w:vAlign w:val="center"/>
          </w:tcPr>
          <w:p w:rsidP="30A512F6" w14:paraId="0E71235A"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18.6x</w:t>
            </w:r>
          </w:p>
        </w:tc>
        <w:tc>
          <w:tcPr>
            <w:tcW w:w="2280" w:type="dxa"/>
            <w:tcMar>
              <w:top w:w="80" w:type="dxa"/>
              <w:left w:w="100" w:type="dxa"/>
              <w:bottom w:w="80" w:type="dxa"/>
              <w:right w:w="100" w:type="dxa"/>
            </w:tcMar>
            <w:vAlign w:val="center"/>
          </w:tcPr>
          <w:p w:rsidP="30A512F6" w14:paraId="07B27DBA"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7.5x</w:t>
            </w:r>
          </w:p>
        </w:tc>
      </w:tr>
      <w:tr xmlns:wp14="http://schemas.microsoft.com/office/word/2010/wordml" w:rsidTr="30A512F6" w14:paraId="7AC2CDA7" wp14:textId="77777777">
        <w:tc>
          <w:tcPr>
            <w:tcW w:w="3360" w:type="dxa"/>
            <w:shd w:val="clear" w:color="auto" w:fill="EAF3F3"/>
            <w:tcMar>
              <w:top w:w="80" w:type="dxa"/>
              <w:left w:w="100" w:type="dxa"/>
              <w:bottom w:w="80" w:type="dxa"/>
              <w:right w:w="100" w:type="dxa"/>
            </w:tcMar>
            <w:vAlign w:val="center"/>
          </w:tcPr>
          <w:p w:rsidP="30A512F6" w14:paraId="08524DB5"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Merck</w:t>
            </w:r>
          </w:p>
        </w:tc>
        <w:tc>
          <w:tcPr>
            <w:tcW w:w="1440" w:type="dxa"/>
            <w:shd w:val="clear" w:color="auto" w:fill="EAF3F3"/>
            <w:tcMar>
              <w:top w:w="80" w:type="dxa"/>
              <w:left w:w="100" w:type="dxa"/>
              <w:bottom w:w="80" w:type="dxa"/>
              <w:right w:w="100" w:type="dxa"/>
            </w:tcMar>
            <w:vAlign w:val="center"/>
          </w:tcPr>
          <w:p w:rsidP="30A512F6" w14:paraId="7E26273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MRK</w:t>
            </w:r>
          </w:p>
        </w:tc>
        <w:tc>
          <w:tcPr>
            <w:tcW w:w="2280" w:type="dxa"/>
            <w:shd w:val="clear" w:color="auto" w:fill="EAF3F3"/>
            <w:tcMar>
              <w:top w:w="80" w:type="dxa"/>
              <w:left w:w="100" w:type="dxa"/>
              <w:bottom w:w="80" w:type="dxa"/>
              <w:right w:w="100" w:type="dxa"/>
            </w:tcMar>
            <w:vAlign w:val="center"/>
          </w:tcPr>
          <w:p w:rsidP="30A512F6" w14:paraId="26E92CD9"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15.1x</w:t>
            </w:r>
          </w:p>
        </w:tc>
        <w:tc>
          <w:tcPr>
            <w:tcW w:w="2280" w:type="dxa"/>
            <w:shd w:val="clear" w:color="auto" w:fill="EAF3F3"/>
            <w:tcMar>
              <w:top w:w="80" w:type="dxa"/>
              <w:left w:w="100" w:type="dxa"/>
              <w:bottom w:w="80" w:type="dxa"/>
              <w:right w:w="100" w:type="dxa"/>
            </w:tcMar>
            <w:vAlign w:val="center"/>
          </w:tcPr>
          <w:p w:rsidP="30A512F6" w14:paraId="2A43B7F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28.7x</w:t>
            </w:r>
          </w:p>
        </w:tc>
      </w:tr>
      <w:tr xmlns:wp14="http://schemas.microsoft.com/office/word/2010/wordml" w:rsidTr="30A512F6" w14:paraId="5A0116B7" wp14:textId="77777777">
        <w:tc>
          <w:tcPr>
            <w:tcW w:w="3360" w:type="dxa"/>
            <w:tcMar>
              <w:top w:w="80" w:type="dxa"/>
              <w:left w:w="100" w:type="dxa"/>
              <w:bottom w:w="80" w:type="dxa"/>
              <w:right w:w="100" w:type="dxa"/>
            </w:tcMar>
            <w:vAlign w:val="center"/>
          </w:tcPr>
          <w:p w:rsidP="30A512F6" w14:paraId="5DD1E2D5"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AbbVie</w:t>
            </w:r>
          </w:p>
        </w:tc>
        <w:tc>
          <w:tcPr>
            <w:tcW w:w="1440" w:type="dxa"/>
            <w:tcMar>
              <w:top w:w="80" w:type="dxa"/>
              <w:left w:w="100" w:type="dxa"/>
              <w:bottom w:w="80" w:type="dxa"/>
              <w:right w:w="100" w:type="dxa"/>
            </w:tcMar>
            <w:vAlign w:val="center"/>
          </w:tcPr>
          <w:p w:rsidP="30A512F6" w14:paraId="315A6780"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ABBV</w:t>
            </w:r>
          </w:p>
        </w:tc>
        <w:tc>
          <w:tcPr>
            <w:tcW w:w="2280" w:type="dxa"/>
            <w:tcMar>
              <w:top w:w="80" w:type="dxa"/>
              <w:left w:w="100" w:type="dxa"/>
              <w:bottom w:w="80" w:type="dxa"/>
              <w:right w:w="100" w:type="dxa"/>
            </w:tcMar>
            <w:vAlign w:val="center"/>
          </w:tcPr>
          <w:p w:rsidP="30A512F6" w14:paraId="485909E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19.0x</w:t>
            </w:r>
          </w:p>
        </w:tc>
        <w:tc>
          <w:tcPr>
            <w:tcW w:w="2280" w:type="dxa"/>
            <w:tcMar>
              <w:top w:w="80" w:type="dxa"/>
              <w:left w:w="100" w:type="dxa"/>
              <w:bottom w:w="80" w:type="dxa"/>
              <w:right w:w="100" w:type="dxa"/>
            </w:tcMar>
            <w:vAlign w:val="center"/>
          </w:tcPr>
          <w:p w:rsidP="30A512F6" w14:paraId="3B0B1436"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16.7x</w:t>
            </w:r>
          </w:p>
        </w:tc>
      </w:tr>
      <w:tr xmlns:wp14="http://schemas.microsoft.com/office/word/2010/wordml" w:rsidTr="30A512F6" w14:paraId="05EB6E36" wp14:textId="77777777">
        <w:tc>
          <w:tcPr>
            <w:tcW w:w="3360" w:type="dxa"/>
            <w:shd w:val="clear" w:color="auto" w:fill="EAF3F3"/>
            <w:tcMar>
              <w:top w:w="80" w:type="dxa"/>
              <w:left w:w="100" w:type="dxa"/>
              <w:bottom w:w="80" w:type="dxa"/>
              <w:right w:w="100" w:type="dxa"/>
            </w:tcMar>
            <w:vAlign w:val="center"/>
          </w:tcPr>
          <w:p w:rsidP="30A512F6" w14:paraId="3548F49E"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Peer Median (excl. LLY)</w:t>
            </w:r>
          </w:p>
        </w:tc>
        <w:tc>
          <w:tcPr>
            <w:tcW w:w="1440" w:type="dxa"/>
            <w:shd w:val="clear" w:color="auto" w:fill="EAF3F3"/>
            <w:tcMar>
              <w:top w:w="80" w:type="dxa"/>
              <w:left w:w="100" w:type="dxa"/>
              <w:bottom w:w="80" w:type="dxa"/>
              <w:right w:w="100" w:type="dxa"/>
            </w:tcMar>
            <w:vAlign w:val="center"/>
          </w:tcPr>
          <w:p w:rsidP="30A512F6" w14:paraId="72A3D3EC" wp14:textId="77777777">
            <w:pPr>
              <w:jc w:val="center"/>
              <w:rPr>
                <w:sz w:val="20"/>
                <w:szCs w:val="20"/>
              </w:rPr>
            </w:pPr>
          </w:p>
        </w:tc>
        <w:tc>
          <w:tcPr>
            <w:tcW w:w="2280" w:type="dxa"/>
            <w:shd w:val="clear" w:color="auto" w:fill="EAF3F3"/>
            <w:tcMar>
              <w:top w:w="80" w:type="dxa"/>
              <w:left w:w="100" w:type="dxa"/>
              <w:bottom w:w="80" w:type="dxa"/>
              <w:right w:w="100" w:type="dxa"/>
            </w:tcMar>
            <w:vAlign w:val="center"/>
          </w:tcPr>
          <w:p w:rsidP="30A512F6" w14:paraId="7506440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16.8x</w:t>
            </w:r>
          </w:p>
        </w:tc>
        <w:tc>
          <w:tcPr>
            <w:tcW w:w="2280" w:type="dxa"/>
            <w:shd w:val="clear" w:color="auto" w:fill="EAF3F3"/>
            <w:tcMar>
              <w:top w:w="80" w:type="dxa"/>
              <w:left w:w="100" w:type="dxa"/>
              <w:bottom w:w="80" w:type="dxa"/>
              <w:right w:w="100" w:type="dxa"/>
            </w:tcMar>
            <w:vAlign w:val="center"/>
          </w:tcPr>
          <w:p w:rsidP="30A512F6" w14:paraId="58DB0F08" wp14:textId="0EC03C14">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13.</w:t>
            </w:r>
            <w:r w:rsidRPr="30A512F6" w:rsidR="0B4A0F7F">
              <w:rPr>
                <w:rFonts w:ascii="Calibri" w:hAnsi="Calibri" w:eastAsia="Calibri" w:cs="Calibri"/>
                <w:b w:val="0"/>
                <w:bCs w:val="0"/>
                <w:color w:val="222222"/>
                <w:sz w:val="20"/>
                <w:szCs w:val="20"/>
              </w:rPr>
              <w:t>1</w:t>
            </w:r>
            <w:r w:rsidRPr="30A512F6" w:rsidR="30A512F6">
              <w:rPr>
                <w:rFonts w:ascii="Calibri" w:hAnsi="Calibri" w:eastAsia="Calibri" w:cs="Calibri"/>
                <w:b w:val="0"/>
                <w:bCs w:val="0"/>
                <w:color w:val="222222"/>
                <w:sz w:val="20"/>
                <w:szCs w:val="20"/>
              </w:rPr>
              <w:t>x</w:t>
            </w:r>
          </w:p>
        </w:tc>
      </w:tr>
    </w:tbl>
    <w:p w:rsidR="30A512F6" w:rsidP="30A512F6" w:rsidRDefault="30A512F6" w14:paraId="1028C0C5" w14:textId="25FA7FB9">
      <w:pPr>
        <w:spacing w:before="120" w:after="160"/>
        <w:jc w:val="center"/>
      </w:pPr>
    </w:p>
    <w:p xmlns:wp14="http://schemas.microsoft.com/office/word/2010/wordml" w14:paraId="0D0B940D" wp14:textId="77777777">
      <w:pPr>
        <w:spacing w:before="120" w:after="160"/>
        <w:jc w:val="center"/>
      </w:pPr>
      <w:r w:rsidR="30A512F6">
        <w:drawing>
          <wp:inline xmlns:wp14="http://schemas.microsoft.com/office/word/2010/wordprocessingDrawing" wp14:editId="5E708086" wp14:anchorId="5A508073">
            <wp:extent cx="5905500" cy="2628900"/>
            <wp:effectExtent l="0" t="0" r="0" b="0"/>
            <wp:docPr id="2047701282"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5905500" cy="2628900"/>
                    </a:xfrm>
                    <a:prstGeom prst="rect">
                      <a:avLst/>
                    </a:prstGeom>
                  </pic:spPr>
                </pic:pic>
              </a:graphicData>
            </a:graphic>
          </wp:inline>
        </w:drawing>
      </w:r>
    </w:p>
    <w:p w:rsidR="7FA1EA72" w:rsidP="30A512F6" w:rsidRDefault="7FA1EA72" w14:paraId="2806A648" w14:textId="29FA8C98">
      <w:pPr>
        <w:pStyle w:val="Normal"/>
        <w:spacing w:after="160" w:line="276" w:lineRule="auto"/>
        <w:jc w:val="both"/>
      </w:pP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Applying the </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1</w:t>
      </w:r>
      <w:r w:rsidRPr="30A512F6" w:rsidR="0C4F23AC">
        <w:rPr>
          <w:rFonts w:ascii="Calibri" w:hAnsi="Calibri" w:eastAsia="Calibri" w:cs="Calibri"/>
          <w:b w:val="1"/>
          <w:bCs w:val="1"/>
          <w:i w:val="0"/>
          <w:iCs w:val="0"/>
          <w:caps w:val="0"/>
          <w:smallCaps w:val="0"/>
          <w:strike w:val="0"/>
          <w:dstrike w:val="0"/>
          <w:noProof w:val="0"/>
          <w:color w:val="000000"/>
          <w:sz w:val="22"/>
          <w:szCs w:val="22"/>
          <w:u w:val="none"/>
          <w:lang w:val="en-US"/>
        </w:rPr>
        <w:t>6.8</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x peer median P/E</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 to Lilly’s FY2026E earnings produces an implied value of approximately </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$544 per share,</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 well below both the current price and DCF valuation. We assign this approach only </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15% weight</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 because the peer group grows at low-single-digit rates versus </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30%+ expected growth</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 for Lilly. A more relevant growth adjusted measure is Lilly’s </w:t>
      </w:r>
      <w:r w:rsidRPr="30A512F6" w:rsidR="7FA1EA72">
        <w:rPr>
          <w:rFonts w:ascii="Calibri" w:hAnsi="Calibri" w:eastAsia="Calibri" w:cs="Calibri"/>
          <w:b w:val="1"/>
          <w:bCs w:val="1"/>
          <w:i w:val="0"/>
          <w:iCs w:val="0"/>
          <w:caps w:val="0"/>
          <w:smallCaps w:val="0"/>
          <w:strike w:val="0"/>
          <w:dstrike w:val="0"/>
          <w:noProof w:val="0"/>
          <w:color w:val="000000"/>
          <w:sz w:val="22"/>
          <w:szCs w:val="22"/>
          <w:u w:val="none"/>
          <w:lang w:val="en-US"/>
        </w:rPr>
        <w:t xml:space="preserve">1.4x PEG ratio, </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which suggests its premium valuation is </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largely supported</w:t>
      </w:r>
      <w:r w:rsidRPr="30A512F6" w:rsidR="7FA1EA72">
        <w:rPr>
          <w:rFonts w:ascii="Calibri" w:hAnsi="Calibri" w:eastAsia="Calibri" w:cs="Calibri"/>
          <w:b w:val="0"/>
          <w:bCs w:val="0"/>
          <w:i w:val="0"/>
          <w:iCs w:val="0"/>
          <w:caps w:val="0"/>
          <w:smallCaps w:val="0"/>
          <w:strike w:val="0"/>
          <w:dstrike w:val="0"/>
          <w:noProof w:val="0"/>
          <w:color w:val="000000"/>
          <w:sz w:val="22"/>
          <w:szCs w:val="22"/>
          <w:u w:val="none"/>
          <w:lang w:val="en-US"/>
        </w:rPr>
        <w:t xml:space="preserve"> by superior growth rather than excessive multiple expansion.</w:t>
      </w:r>
    </w:p>
    <w:p w:rsidR="30A512F6" w:rsidP="30A512F6" w:rsidRDefault="30A512F6" w14:paraId="38307C73" w14:textId="16026053">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p>
    <w:p xmlns:wp14="http://schemas.microsoft.com/office/word/2010/wordml" w:rsidP="30A512F6" w14:paraId="41EDB2F7" wp14:textId="77777777">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Blended Valuation &amp; Sensitivity</w:t>
      </w:r>
    </w:p>
    <w:p xmlns:wp14="http://schemas.microsoft.com/office/word/2010/wordml" w:rsidP="30A512F6" w14:paraId="1AA07B70" wp14:textId="6146B985">
      <w:pPr>
        <w:pStyle w:val="Normal"/>
        <w:spacing w:after="160" w:line="276" w:lineRule="auto"/>
        <w:jc w:val="both"/>
      </w:pPr>
      <w:r w:rsidRPr="30A512F6" w:rsidR="4471F2E7">
        <w:rPr>
          <w:rFonts w:ascii="Calibri" w:hAnsi="Calibri" w:eastAsia="Calibri" w:cs="Calibri"/>
          <w:b w:val="0"/>
          <w:bCs w:val="0"/>
          <w:i w:val="0"/>
          <w:iCs w:val="0"/>
          <w:caps w:val="0"/>
          <w:smallCaps w:val="0"/>
          <w:strike w:val="0"/>
          <w:dstrike w:val="0"/>
          <w:color w:val="000000"/>
          <w:sz w:val="22"/>
          <w:szCs w:val="22"/>
          <w:u w:val="none"/>
        </w:rPr>
        <w:t>We assign 85% weight to the DCF and 15% to the more conservative trading comps approach, resulting in a blended target price of $1,063.06 or approximately 9.9% downside from the current share price. Given the DCF’s sensitivity to WACC and terminal growth assumptions, we also evaluate a range of valuation outcomes rather than relying on a single point estimate.</w:t>
      </w:r>
    </w:p>
    <w:p w:rsidR="30A512F6" w:rsidP="30A512F6" w:rsidRDefault="30A512F6" w14:paraId="678D39E0" w14:textId="4BB3F346">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400"/>
        <w:gridCol w:w="2640"/>
      </w:tblGrid>
      <w:tr xmlns:wp14="http://schemas.microsoft.com/office/word/2010/wordml" w:rsidTr="30A512F6" w14:paraId="17AA02D6" wp14:textId="77777777">
        <w:trPr>
          <w:tblHeader/>
        </w:trPr>
        <w:tc>
          <w:tcPr>
            <w:tcW w:w="2160" w:type="dxa"/>
            <w:shd w:val="clear" w:color="auto" w:fill="0B2E33"/>
            <w:tcMar>
              <w:top w:w="80" w:type="dxa"/>
              <w:left w:w="100" w:type="dxa"/>
              <w:bottom w:w="80" w:type="dxa"/>
              <w:right w:w="100" w:type="dxa"/>
            </w:tcMar>
            <w:vAlign w:val="center"/>
          </w:tcPr>
          <w:p w:rsidP="30A512F6" w14:paraId="730FDE5E" wp14:textId="77777777">
            <w:pPr>
              <w:jc w:val="left"/>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Scenario</w:t>
            </w:r>
          </w:p>
        </w:tc>
        <w:tc>
          <w:tcPr>
            <w:tcW w:w="2160" w:type="dxa"/>
            <w:shd w:val="clear" w:color="auto" w:fill="0B2E33"/>
            <w:tcMar>
              <w:top w:w="80" w:type="dxa"/>
              <w:left w:w="100" w:type="dxa"/>
              <w:bottom w:w="80" w:type="dxa"/>
              <w:right w:w="100" w:type="dxa"/>
            </w:tcMar>
            <w:vAlign w:val="center"/>
          </w:tcPr>
          <w:p w:rsidP="30A512F6" w14:paraId="181FC8E5"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WACC</w:t>
            </w:r>
          </w:p>
        </w:tc>
        <w:tc>
          <w:tcPr>
            <w:tcW w:w="2400" w:type="dxa"/>
            <w:shd w:val="clear" w:color="auto" w:fill="0B2E33"/>
            <w:tcMar>
              <w:top w:w="80" w:type="dxa"/>
              <w:left w:w="100" w:type="dxa"/>
              <w:bottom w:w="80" w:type="dxa"/>
              <w:right w:w="100" w:type="dxa"/>
            </w:tcMar>
            <w:vAlign w:val="center"/>
          </w:tcPr>
          <w:p w:rsidP="30A512F6" w14:paraId="314207A9"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Terminal Growth</w:t>
            </w:r>
          </w:p>
        </w:tc>
        <w:tc>
          <w:tcPr>
            <w:tcW w:w="2640" w:type="dxa"/>
            <w:shd w:val="clear" w:color="auto" w:fill="0B2E33"/>
            <w:tcMar>
              <w:top w:w="80" w:type="dxa"/>
              <w:left w:w="100" w:type="dxa"/>
              <w:bottom w:w="80" w:type="dxa"/>
              <w:right w:w="100" w:type="dxa"/>
            </w:tcMar>
            <w:vAlign w:val="center"/>
          </w:tcPr>
          <w:p w:rsidP="30A512F6" w14:paraId="6017D8D4" wp14:textId="77777777">
            <w:pPr>
              <w:jc w:val="center"/>
              <w:rPr>
                <w:rFonts w:ascii="Calibri" w:hAnsi="Calibri" w:eastAsia="Calibri" w:cs="Calibri"/>
                <w:b w:val="1"/>
                <w:bCs w:val="1"/>
                <w:color w:val="FFFFFF"/>
                <w:sz w:val="20"/>
                <w:szCs w:val="20"/>
              </w:rPr>
            </w:pPr>
            <w:r w:rsidRPr="30A512F6" w:rsidR="30A512F6">
              <w:rPr>
                <w:rFonts w:ascii="Calibri" w:hAnsi="Calibri" w:eastAsia="Calibri" w:cs="Calibri"/>
                <w:b w:val="1"/>
                <w:bCs w:val="1"/>
                <w:color w:val="FFFFFF"/>
                <w:sz w:val="20"/>
                <w:szCs w:val="20"/>
              </w:rPr>
              <w:t>Implied Price</w:t>
            </w:r>
          </w:p>
        </w:tc>
      </w:tr>
      <w:tr xmlns:wp14="http://schemas.microsoft.com/office/word/2010/wordml" w:rsidTr="30A512F6" w14:paraId="68B1FDBE" wp14:textId="77777777">
        <w:tc>
          <w:tcPr>
            <w:tcW w:w="2160" w:type="dxa"/>
            <w:tcMar>
              <w:top w:w="80" w:type="dxa"/>
              <w:left w:w="100" w:type="dxa"/>
              <w:bottom w:w="80" w:type="dxa"/>
              <w:right w:w="100" w:type="dxa"/>
            </w:tcMar>
            <w:vAlign w:val="center"/>
          </w:tcPr>
          <w:p w:rsidP="30A512F6" w14:paraId="653E7001"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Bear</w:t>
            </w:r>
          </w:p>
        </w:tc>
        <w:tc>
          <w:tcPr>
            <w:tcW w:w="2160" w:type="dxa"/>
            <w:tcMar>
              <w:top w:w="80" w:type="dxa"/>
              <w:left w:w="100" w:type="dxa"/>
              <w:bottom w:w="80" w:type="dxa"/>
              <w:right w:w="100" w:type="dxa"/>
            </w:tcMar>
            <w:vAlign w:val="center"/>
          </w:tcPr>
          <w:p w:rsidP="30A512F6" w14:paraId="63F5FB87"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8.14%</w:t>
            </w:r>
          </w:p>
        </w:tc>
        <w:tc>
          <w:tcPr>
            <w:tcW w:w="2400" w:type="dxa"/>
            <w:tcMar>
              <w:top w:w="80" w:type="dxa"/>
              <w:left w:w="100" w:type="dxa"/>
              <w:bottom w:w="80" w:type="dxa"/>
              <w:right w:w="100" w:type="dxa"/>
            </w:tcMar>
            <w:vAlign w:val="center"/>
          </w:tcPr>
          <w:p w:rsidP="30A512F6" w14:paraId="08D4E891"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2.0%</w:t>
            </w:r>
          </w:p>
        </w:tc>
        <w:tc>
          <w:tcPr>
            <w:tcW w:w="2640" w:type="dxa"/>
            <w:tcMar>
              <w:top w:w="80" w:type="dxa"/>
              <w:left w:w="100" w:type="dxa"/>
              <w:bottom w:w="80" w:type="dxa"/>
              <w:right w:w="100" w:type="dxa"/>
            </w:tcMar>
            <w:vAlign w:val="center"/>
          </w:tcPr>
          <w:p w:rsidP="30A512F6" w14:paraId="26C91815"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$777.83</w:t>
            </w:r>
          </w:p>
        </w:tc>
      </w:tr>
      <w:tr xmlns:wp14="http://schemas.microsoft.com/office/word/2010/wordml" w:rsidTr="30A512F6" w14:paraId="1908DCC5" wp14:textId="77777777">
        <w:tc>
          <w:tcPr>
            <w:tcW w:w="2160" w:type="dxa"/>
            <w:shd w:val="clear" w:color="auto" w:fill="EAF3F3"/>
            <w:tcMar>
              <w:top w:w="80" w:type="dxa"/>
              <w:left w:w="100" w:type="dxa"/>
              <w:bottom w:w="80" w:type="dxa"/>
              <w:right w:w="100" w:type="dxa"/>
            </w:tcMar>
            <w:vAlign w:val="center"/>
          </w:tcPr>
          <w:p w:rsidP="30A512F6" w14:paraId="0127C158"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Base</w:t>
            </w:r>
          </w:p>
        </w:tc>
        <w:tc>
          <w:tcPr>
            <w:tcW w:w="2160" w:type="dxa"/>
            <w:shd w:val="clear" w:color="auto" w:fill="EAF3F3"/>
            <w:tcMar>
              <w:top w:w="80" w:type="dxa"/>
              <w:left w:w="100" w:type="dxa"/>
              <w:bottom w:w="80" w:type="dxa"/>
              <w:right w:w="100" w:type="dxa"/>
            </w:tcMar>
            <w:vAlign w:val="center"/>
          </w:tcPr>
          <w:p w:rsidP="30A512F6" w14:paraId="3D21A8B8"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7.14%</w:t>
            </w:r>
          </w:p>
        </w:tc>
        <w:tc>
          <w:tcPr>
            <w:tcW w:w="2400" w:type="dxa"/>
            <w:shd w:val="clear" w:color="auto" w:fill="EAF3F3"/>
            <w:tcMar>
              <w:top w:w="80" w:type="dxa"/>
              <w:left w:w="100" w:type="dxa"/>
              <w:bottom w:w="80" w:type="dxa"/>
              <w:right w:w="100" w:type="dxa"/>
            </w:tcMar>
            <w:vAlign w:val="center"/>
          </w:tcPr>
          <w:p w:rsidP="30A512F6" w14:paraId="48CEAE12"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3.0%</w:t>
            </w:r>
          </w:p>
        </w:tc>
        <w:tc>
          <w:tcPr>
            <w:tcW w:w="2640" w:type="dxa"/>
            <w:shd w:val="clear" w:color="auto" w:fill="EAF3F3"/>
            <w:tcMar>
              <w:top w:w="80" w:type="dxa"/>
              <w:left w:w="100" w:type="dxa"/>
              <w:bottom w:w="80" w:type="dxa"/>
              <w:right w:w="100" w:type="dxa"/>
            </w:tcMar>
            <w:vAlign w:val="center"/>
          </w:tcPr>
          <w:p w:rsidP="30A512F6" w14:paraId="3C959C4D"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$1,154.66</w:t>
            </w:r>
          </w:p>
        </w:tc>
      </w:tr>
      <w:tr xmlns:wp14="http://schemas.microsoft.com/office/word/2010/wordml" w:rsidTr="30A512F6" w14:paraId="10F576EE" wp14:textId="77777777">
        <w:tc>
          <w:tcPr>
            <w:tcW w:w="2160" w:type="dxa"/>
            <w:tcMar>
              <w:top w:w="80" w:type="dxa"/>
              <w:left w:w="100" w:type="dxa"/>
              <w:bottom w:w="80" w:type="dxa"/>
              <w:right w:w="100" w:type="dxa"/>
            </w:tcMar>
            <w:vAlign w:val="center"/>
          </w:tcPr>
          <w:p w:rsidP="30A512F6" w14:paraId="2089988B" wp14:textId="77777777">
            <w:pPr>
              <w:jc w:val="left"/>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Bull</w:t>
            </w:r>
          </w:p>
        </w:tc>
        <w:tc>
          <w:tcPr>
            <w:tcW w:w="2160" w:type="dxa"/>
            <w:tcMar>
              <w:top w:w="80" w:type="dxa"/>
              <w:left w:w="100" w:type="dxa"/>
              <w:bottom w:w="80" w:type="dxa"/>
              <w:right w:w="100" w:type="dxa"/>
            </w:tcMar>
            <w:vAlign w:val="center"/>
          </w:tcPr>
          <w:p w:rsidP="30A512F6" w14:paraId="4FE52453"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6.14%</w:t>
            </w:r>
          </w:p>
        </w:tc>
        <w:tc>
          <w:tcPr>
            <w:tcW w:w="2400" w:type="dxa"/>
            <w:tcMar>
              <w:top w:w="80" w:type="dxa"/>
              <w:left w:w="100" w:type="dxa"/>
              <w:bottom w:w="80" w:type="dxa"/>
              <w:right w:w="100" w:type="dxa"/>
            </w:tcMar>
            <w:vAlign w:val="center"/>
          </w:tcPr>
          <w:p w:rsidP="30A512F6" w14:paraId="7A46180F"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4.0%</w:t>
            </w:r>
          </w:p>
        </w:tc>
        <w:tc>
          <w:tcPr>
            <w:tcW w:w="2640" w:type="dxa"/>
            <w:tcMar>
              <w:top w:w="80" w:type="dxa"/>
              <w:left w:w="100" w:type="dxa"/>
              <w:bottom w:w="80" w:type="dxa"/>
              <w:right w:w="100" w:type="dxa"/>
            </w:tcMar>
            <w:vAlign w:val="center"/>
          </w:tcPr>
          <w:p w:rsidP="30A512F6" w14:paraId="4BC0CCA3" wp14:textId="77777777">
            <w:pPr>
              <w:jc w:val="center"/>
              <w:rPr>
                <w:rFonts w:ascii="Calibri" w:hAnsi="Calibri" w:eastAsia="Calibri" w:cs="Calibri"/>
                <w:b w:val="0"/>
                <w:bCs w:val="0"/>
                <w:color w:val="222222"/>
                <w:sz w:val="20"/>
                <w:szCs w:val="20"/>
              </w:rPr>
            </w:pPr>
            <w:r w:rsidRPr="30A512F6" w:rsidR="30A512F6">
              <w:rPr>
                <w:rFonts w:ascii="Calibri" w:hAnsi="Calibri" w:eastAsia="Calibri" w:cs="Calibri"/>
                <w:b w:val="0"/>
                <w:bCs w:val="0"/>
                <w:color w:val="222222"/>
                <w:sz w:val="20"/>
                <w:szCs w:val="20"/>
              </w:rPr>
              <w:t>$2,233.69</w:t>
            </w:r>
          </w:p>
        </w:tc>
      </w:tr>
    </w:tbl>
    <w:p w:rsidR="30A512F6" w:rsidP="30A512F6" w:rsidRDefault="30A512F6" w14:paraId="58AA8336" w14:textId="2AE45181">
      <w:pPr>
        <w:spacing w:before="120" w:after="160"/>
        <w:jc w:val="center"/>
      </w:pPr>
    </w:p>
    <w:p xmlns:wp14="http://schemas.microsoft.com/office/word/2010/wordml" w14:paraId="0E27B00A" wp14:textId="77777777">
      <w:pPr>
        <w:spacing w:before="120" w:after="160"/>
        <w:jc w:val="center"/>
      </w:pPr>
      <w:r w:rsidR="30A512F6">
        <w:drawing>
          <wp:inline xmlns:wp14="http://schemas.microsoft.com/office/word/2010/wordprocessingDrawing" wp14:editId="240C350B" wp14:anchorId="118D2B31">
            <wp:extent cx="5905500" cy="2628900"/>
            <wp:effectExtent l="0" t="0" r="0" b="0"/>
            <wp:docPr id="1920963258"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a:off x="0" y="0"/>
                      <a:ext cx="5905500" cy="2628900"/>
                    </a:xfrm>
                    <a:prstGeom prst="rect">
                      <a:avLst/>
                    </a:prstGeom>
                  </pic:spPr>
                </pic:pic>
              </a:graphicData>
            </a:graphic>
          </wp:inline>
        </w:drawing>
      </w:r>
    </w:p>
    <w:p xmlns:wp14="http://schemas.microsoft.com/office/word/2010/wordml" w:rsidP="30A512F6" w14:paraId="04AAAD0F" wp14:textId="25E757AD">
      <w:pPr>
        <w:spacing w:after="160" w:line="276" w:lineRule="auto"/>
        <w:jc w:val="both"/>
        <w:rPr>
          <w:rFonts w:ascii="Calibri" w:hAnsi="Calibri" w:eastAsia="Calibri" w:cs="Calibri"/>
          <w:color w:val="222222"/>
          <w:sz w:val="21"/>
          <w:szCs w:val="21"/>
          <w:lang w:val="en-US"/>
        </w:rPr>
      </w:pPr>
    </w:p>
    <w:p xmlns:wp14="http://schemas.microsoft.com/office/word/2010/wordml" w:rsidP="30A512F6" w14:paraId="2F9C58F0" wp14:textId="0FD70954">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The </w:t>
      </w:r>
      <w:r w:rsidRPr="30A512F6" w:rsidR="750D2437">
        <w:rPr>
          <w:rFonts w:ascii="Calibri" w:hAnsi="Calibri" w:eastAsia="Calibri" w:cs="Calibri"/>
          <w:b w:val="1"/>
          <w:bCs w:val="1"/>
          <w:i w:val="0"/>
          <w:iCs w:val="0"/>
          <w:caps w:val="0"/>
          <w:smallCaps w:val="0"/>
          <w:strike w:val="0"/>
          <w:dstrike w:val="0"/>
          <w:noProof w:val="0"/>
          <w:color w:val="000000"/>
          <w:sz w:val="22"/>
          <w:szCs w:val="22"/>
          <w:u w:val="none"/>
          <w:lang w:val="en-US"/>
        </w:rPr>
        <w:t>wide valuation range of $778 to $2,234</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 from </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relatively modest</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 changes in WACC and terminal growth is itself a key finding. It highlights how heavily Lilly’s curr</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ent </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$1,180 valuation depends on sustained long-term execution and assumptions about future growth </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rather than </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representing</w:t>
      </w:r>
      <w:r w:rsidRPr="30A512F6" w:rsidR="750D2437">
        <w:rPr>
          <w:rFonts w:ascii="Calibri" w:hAnsi="Calibri" w:eastAsia="Calibri" w:cs="Calibri"/>
          <w:b w:val="0"/>
          <w:bCs w:val="0"/>
          <w:i w:val="0"/>
          <w:iCs w:val="0"/>
          <w:caps w:val="0"/>
          <w:smallCaps w:val="0"/>
          <w:strike w:val="0"/>
          <w:dstrike w:val="0"/>
          <w:noProof w:val="0"/>
          <w:color w:val="000000"/>
          <w:sz w:val="22"/>
          <w:szCs w:val="22"/>
          <w:u w:val="none"/>
          <w:lang w:val="en-US"/>
        </w:rPr>
        <w:t xml:space="preserve"> a narrow range of low-risk outcomes.</w:t>
      </w:r>
    </w:p>
    <w:p xmlns:wp14="http://schemas.microsoft.com/office/word/2010/wordml" w14:paraId="60061E4C" wp14:textId="77777777">
      <w:r>
        <w:br w:type="page"/>
      </w:r>
    </w:p>
    <w:p xmlns:wp14="http://schemas.microsoft.com/office/word/2010/wordml" w:rsidP="30A512F6" w14:paraId="16E2CDB0"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Investment Thesis</w:t>
      </w:r>
    </w:p>
    <w:p w:rsidR="30A512F6" w:rsidP="30A512F6" w:rsidRDefault="30A512F6" w14:paraId="007C2E07" w14:textId="6D9F9596">
      <w:pPr>
        <w:pStyle w:val="Heading2"/>
        <w:spacing w:before="240" w:after="120"/>
        <w:rPr>
          <w:rFonts w:ascii="Calibri" w:hAnsi="Calibri" w:eastAsia="Calibri" w:cs="Calibri"/>
          <w:color w:val="45126B"/>
        </w:rPr>
      </w:pPr>
    </w:p>
    <w:p xmlns:wp14="http://schemas.microsoft.com/office/word/2010/wordml" w:rsidP="30A512F6" w14:paraId="53A589C6" wp14:textId="77777777">
      <w:pPr>
        <w:pStyle w:val="Heading2"/>
        <w:spacing w:before="240" w:after="120"/>
        <w:rPr>
          <w:rFonts w:ascii="Calibri" w:hAnsi="Calibri" w:eastAsia="Calibri" w:cs="Calibri"/>
          <w:color w:val="45126B"/>
        </w:rPr>
      </w:pPr>
      <w:r w:rsidRPr="30A512F6" w:rsidR="30A512F6">
        <w:rPr>
          <w:rFonts w:ascii="Calibri" w:hAnsi="Calibri" w:eastAsia="Calibri" w:cs="Calibri"/>
          <w:color w:val="45126B"/>
        </w:rPr>
        <w:t>Bull Case</w:t>
      </w:r>
    </w:p>
    <w:p w:rsidR="6FE480A1" w:rsidP="30A512F6" w:rsidRDefault="6FE480A1" w14:paraId="025A3549" w14:textId="73329DA2">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The upside scenario assumes Lilly’s </w:t>
      </w:r>
      <w:r w:rsidRPr="30A512F6" w:rsidR="6FE480A1">
        <w:rPr>
          <w:rFonts w:ascii="Calibri" w:hAnsi="Calibri" w:eastAsia="Calibri" w:cs="Calibri"/>
          <w:b w:val="1"/>
          <w:bCs w:val="1"/>
          <w:i w:val="0"/>
          <w:iCs w:val="0"/>
          <w:caps w:val="0"/>
          <w:smallCaps w:val="0"/>
          <w:strike w:val="0"/>
          <w:dstrike w:val="0"/>
          <w:noProof w:val="0"/>
          <w:color w:val="000000"/>
          <w:sz w:val="22"/>
          <w:szCs w:val="22"/>
          <w:u w:val="none"/>
          <w:lang w:val="en-US"/>
        </w:rPr>
        <w:t>GLP-1 franchise continues to outperform expectations</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 supported by </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Foundayo’s</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 oral formulation expanding the addressable patient base and </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Retatrutide</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 providing a potential next-generation growth driver. </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Lilly’s two guidance increases in 2026 further reinforce the company’s execution track record.</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 Sustained growth and strong execution could justify continued </w:t>
      </w:r>
      <w:r w:rsidRPr="30A512F6" w:rsidR="6FE480A1">
        <w:rPr>
          <w:rFonts w:ascii="Calibri" w:hAnsi="Calibri" w:eastAsia="Calibri" w:cs="Calibri"/>
          <w:b w:val="1"/>
          <w:bCs w:val="1"/>
          <w:i w:val="0"/>
          <w:iCs w:val="0"/>
          <w:caps w:val="0"/>
          <w:smallCaps w:val="0"/>
          <w:strike w:val="0"/>
          <w:dstrike w:val="0"/>
          <w:noProof w:val="0"/>
          <w:color w:val="000000"/>
          <w:sz w:val="22"/>
          <w:szCs w:val="22"/>
          <w:u w:val="none"/>
          <w:lang w:val="en-US"/>
        </w:rPr>
        <w:t>premium valuation multiples</w:t>
      </w:r>
      <w:r w:rsidRPr="30A512F6" w:rsidR="6FE480A1">
        <w:rPr>
          <w:rFonts w:ascii="Calibri" w:hAnsi="Calibri" w:eastAsia="Calibri" w:cs="Calibri"/>
          <w:b w:val="0"/>
          <w:bCs w:val="0"/>
          <w:i w:val="0"/>
          <w:iCs w:val="0"/>
          <w:caps w:val="0"/>
          <w:smallCaps w:val="0"/>
          <w:strike w:val="0"/>
          <w:dstrike w:val="0"/>
          <w:noProof w:val="0"/>
          <w:color w:val="000000"/>
          <w:sz w:val="22"/>
          <w:szCs w:val="22"/>
          <w:u w:val="none"/>
          <w:lang w:val="en-US"/>
        </w:rPr>
        <w:t xml:space="preserve"> driving the share price materially above our base case.</w:t>
      </w:r>
    </w:p>
    <w:p xmlns:wp14="http://schemas.microsoft.com/office/word/2010/wordml" w:rsidP="30A512F6" w14:paraId="68E12A1F" wp14:textId="77777777">
      <w:pPr>
        <w:pStyle w:val="Heading2"/>
        <w:spacing w:before="240" w:after="120"/>
        <w:rPr>
          <w:rFonts w:ascii="Calibri" w:hAnsi="Calibri" w:eastAsia="Calibri" w:cs="Calibri"/>
          <w:color w:val="45126B"/>
          <w:u w:val="none"/>
        </w:rPr>
      </w:pPr>
      <w:r w:rsidRPr="30A512F6" w:rsidR="30A512F6">
        <w:rPr>
          <w:rFonts w:ascii="Calibri" w:hAnsi="Calibri" w:eastAsia="Calibri" w:cs="Calibri"/>
          <w:color w:val="45126B"/>
          <w:u w:val="none"/>
        </w:rPr>
        <w:t>Base Case</w:t>
      </w:r>
    </w:p>
    <w:p xmlns:wp14="http://schemas.microsoft.com/office/word/2010/wordml" w:rsidP="30A512F6" w14:paraId="09FDB0D6" wp14:textId="084E9F47">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GB"/>
        </w:rPr>
      </w:pP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 xml:space="preserve">We expect the GLP-1 franchise to </w:t>
      </w:r>
      <w:r w:rsidRPr="30A512F6" w:rsidR="51EF28B7">
        <w:rPr>
          <w:rFonts w:ascii="Calibri" w:hAnsi="Calibri" w:eastAsia="Calibri" w:cs="Calibri"/>
          <w:b w:val="1"/>
          <w:bCs w:val="1"/>
          <w:i w:val="0"/>
          <w:iCs w:val="0"/>
          <w:caps w:val="0"/>
          <w:smallCaps w:val="0"/>
          <w:strike w:val="0"/>
          <w:dstrike w:val="0"/>
          <w:noProof w:val="0"/>
          <w:color w:val="000000"/>
          <w:sz w:val="22"/>
          <w:szCs w:val="22"/>
          <w:u w:val="none"/>
          <w:lang w:val="en-GB"/>
        </w:rPr>
        <w:t>keep growing but at a more measured pace</w:t>
      </w: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 xml:space="preserve"> as patient penetration rises and competition from Novo Nordisk and new entrants intensifies. Pricing and access pressures including the </w:t>
      </w:r>
      <w:r w:rsidRPr="30A512F6" w:rsidR="51EF28B7">
        <w:rPr>
          <w:rFonts w:ascii="Calibri" w:hAnsi="Calibri" w:eastAsia="Calibri" w:cs="Calibri"/>
          <w:b w:val="1"/>
          <w:bCs w:val="1"/>
          <w:i w:val="0"/>
          <w:iCs w:val="0"/>
          <w:caps w:val="0"/>
          <w:smallCaps w:val="0"/>
          <w:strike w:val="0"/>
          <w:dstrike w:val="0"/>
          <w:noProof w:val="0"/>
          <w:color w:val="000000"/>
          <w:sz w:val="22"/>
          <w:szCs w:val="22"/>
          <w:u w:val="none"/>
          <w:lang w:val="en-GB"/>
        </w:rPr>
        <w:t>Medicare GLP-1 Bridge Program launched in July 2026</w:t>
      </w: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 xml:space="preserve"> could also weigh on realized net pricing despite continued volume growth. Under these assumptions, our DCF places LLY </w:t>
      </w:r>
      <w:r w:rsidRPr="30A512F6" w:rsidR="51EF28B7">
        <w:rPr>
          <w:rFonts w:ascii="Calibri" w:hAnsi="Calibri" w:eastAsia="Calibri" w:cs="Calibri"/>
          <w:b w:val="1"/>
          <w:bCs w:val="1"/>
          <w:i w:val="0"/>
          <w:iCs w:val="0"/>
          <w:caps w:val="0"/>
          <w:smallCaps w:val="0"/>
          <w:strike w:val="0"/>
          <w:dstrike w:val="0"/>
          <w:noProof w:val="0"/>
          <w:color w:val="000000"/>
          <w:sz w:val="22"/>
          <w:szCs w:val="22"/>
          <w:u w:val="none"/>
          <w:lang w:val="en-GB"/>
        </w:rPr>
        <w:t>near intrinsic value</w:t>
      </w: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 xml:space="preserve"> with the blended target </w:t>
      </w: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indicating</w:t>
      </w:r>
      <w:r w:rsidRPr="30A512F6" w:rsidR="51EF28B7">
        <w:rPr>
          <w:rFonts w:ascii="Calibri" w:hAnsi="Calibri" w:eastAsia="Calibri" w:cs="Calibri"/>
          <w:b w:val="0"/>
          <w:bCs w:val="0"/>
          <w:i w:val="0"/>
          <w:iCs w:val="0"/>
          <w:caps w:val="0"/>
          <w:smallCaps w:val="0"/>
          <w:strike w:val="0"/>
          <w:dstrike w:val="0"/>
          <w:noProof w:val="0"/>
          <w:color w:val="000000"/>
          <w:sz w:val="22"/>
          <w:szCs w:val="22"/>
          <w:u w:val="none"/>
          <w:lang w:val="en-GB"/>
        </w:rPr>
        <w:t xml:space="preserve"> modest downside as growth expectations normalize.</w:t>
      </w:r>
    </w:p>
    <w:p xmlns:wp14="http://schemas.microsoft.com/office/word/2010/wordml" w:rsidP="30A512F6" w14:paraId="735B0D13" wp14:textId="77777777">
      <w:pPr>
        <w:pStyle w:val="Heading2"/>
        <w:spacing w:before="240" w:after="120"/>
        <w:rPr>
          <w:rFonts w:ascii="Calibri" w:hAnsi="Calibri" w:eastAsia="Calibri" w:cs="Calibri"/>
          <w:color w:val="45126B"/>
          <w:u w:val="none"/>
        </w:rPr>
      </w:pPr>
      <w:r w:rsidRPr="30A512F6" w:rsidR="30A512F6">
        <w:rPr>
          <w:rFonts w:ascii="Calibri" w:hAnsi="Calibri" w:eastAsia="Calibri" w:cs="Calibri"/>
          <w:color w:val="45126B"/>
          <w:u w:val="none"/>
        </w:rPr>
        <w:t>Bear Case</w:t>
      </w:r>
    </w:p>
    <w:p w:rsidR="31BE196B" w:rsidP="30A512F6" w:rsidRDefault="31BE196B" w14:paraId="4580F3B7" w14:textId="6DD8DD05">
      <w:pPr>
        <w:pStyle w:val="Normal"/>
        <w:spacing w:after="160" w:line="276" w:lineRule="auto"/>
        <w:jc w:val="both"/>
      </w:pPr>
      <w:r w:rsidRPr="30A512F6" w:rsidR="31BE196B">
        <w:rPr>
          <w:rFonts w:ascii="Calibri" w:hAnsi="Calibri" w:eastAsia="Calibri" w:cs="Calibri"/>
          <w:b w:val="0"/>
          <w:bCs w:val="0"/>
          <w:i w:val="0"/>
          <w:iCs w:val="0"/>
          <w:caps w:val="0"/>
          <w:smallCaps w:val="0"/>
          <w:strike w:val="0"/>
          <w:dstrike w:val="0"/>
          <w:noProof w:val="0"/>
          <w:color w:val="000000"/>
          <w:sz w:val="22"/>
          <w:szCs w:val="22"/>
          <w:u w:val="none"/>
          <w:lang w:val="en-US"/>
        </w:rPr>
        <w:t xml:space="preserve">The key risks are intensifying competition and execution challenges. Novo Nordisk’s oral GLP-1 has already gained significant U.S. prescription share showing that Lilly’s market leadership is not guaranteed. Meanwhile, rising inventory days and heavy manufacturing investment increase execution risk. Declining legacy products such as </w:t>
      </w:r>
      <w:r w:rsidRPr="30A512F6" w:rsidR="31BE196B">
        <w:rPr>
          <w:rFonts w:ascii="Calibri" w:hAnsi="Calibri" w:eastAsia="Calibri" w:cs="Calibri"/>
          <w:b w:val="1"/>
          <w:bCs w:val="1"/>
          <w:i w:val="0"/>
          <w:iCs w:val="0"/>
          <w:caps w:val="0"/>
          <w:smallCaps w:val="0"/>
          <w:strike w:val="0"/>
          <w:dstrike w:val="0"/>
          <w:noProof w:val="0"/>
          <w:color w:val="000000"/>
          <w:sz w:val="22"/>
          <w:szCs w:val="22"/>
          <w:u w:val="none"/>
          <w:lang w:val="en-US"/>
        </w:rPr>
        <w:t xml:space="preserve">Trulicity, Humalog and </w:t>
      </w:r>
      <w:r w:rsidRPr="30A512F6" w:rsidR="31BE196B">
        <w:rPr>
          <w:rFonts w:ascii="Calibri" w:hAnsi="Calibri" w:eastAsia="Calibri" w:cs="Calibri"/>
          <w:b w:val="1"/>
          <w:bCs w:val="1"/>
          <w:i w:val="0"/>
          <w:iCs w:val="0"/>
          <w:caps w:val="0"/>
          <w:smallCaps w:val="0"/>
          <w:strike w:val="0"/>
          <w:dstrike w:val="0"/>
          <w:noProof w:val="0"/>
          <w:color w:val="000000"/>
          <w:sz w:val="22"/>
          <w:szCs w:val="22"/>
          <w:u w:val="none"/>
          <w:lang w:val="en-US"/>
        </w:rPr>
        <w:t>Basaglar</w:t>
      </w:r>
      <w:r w:rsidRPr="30A512F6" w:rsidR="31BE196B">
        <w:rPr>
          <w:rFonts w:ascii="Calibri" w:hAnsi="Calibri" w:eastAsia="Calibri" w:cs="Calibri"/>
          <w:b w:val="0"/>
          <w:bCs w:val="0"/>
          <w:i w:val="0"/>
          <w:iCs w:val="0"/>
          <w:caps w:val="0"/>
          <w:smallCaps w:val="0"/>
          <w:strike w:val="0"/>
          <w:dstrike w:val="0"/>
          <w:noProof w:val="0"/>
          <w:color w:val="000000"/>
          <w:sz w:val="22"/>
          <w:szCs w:val="22"/>
          <w:u w:val="none"/>
          <w:lang w:val="en-US"/>
        </w:rPr>
        <w:t xml:space="preserve"> provide limited </w:t>
      </w:r>
      <w:r w:rsidRPr="30A512F6" w:rsidR="31BE196B">
        <w:rPr>
          <w:rFonts w:ascii="Calibri" w:hAnsi="Calibri" w:eastAsia="Calibri" w:cs="Calibri"/>
          <w:b w:val="0"/>
          <w:bCs w:val="0"/>
          <w:i w:val="0"/>
          <w:iCs w:val="0"/>
          <w:caps w:val="0"/>
          <w:smallCaps w:val="0"/>
          <w:strike w:val="0"/>
          <w:dstrike w:val="0"/>
          <w:noProof w:val="0"/>
          <w:color w:val="000000"/>
          <w:sz w:val="22"/>
          <w:szCs w:val="22"/>
          <w:u w:val="none"/>
          <w:lang w:val="en-US"/>
        </w:rPr>
        <w:t>diversification,</w:t>
      </w:r>
      <w:r w:rsidRPr="30A512F6" w:rsidR="31BE196B">
        <w:rPr>
          <w:rFonts w:ascii="Calibri" w:hAnsi="Calibri" w:eastAsia="Calibri" w:cs="Calibri"/>
          <w:b w:val="0"/>
          <w:bCs w:val="0"/>
          <w:i w:val="0"/>
          <w:iCs w:val="0"/>
          <w:caps w:val="0"/>
          <w:smallCaps w:val="0"/>
          <w:strike w:val="0"/>
          <w:dstrike w:val="0"/>
          <w:noProof w:val="0"/>
          <w:color w:val="000000"/>
          <w:sz w:val="22"/>
          <w:szCs w:val="22"/>
          <w:u w:val="none"/>
          <w:lang w:val="en-US"/>
        </w:rPr>
        <w:t xml:space="preserve"> leaving Lilly particularly exposed if GLP-1 growth slows materially.</w:t>
      </w:r>
    </w:p>
    <w:p w:rsidR="30A512F6" w:rsidP="30A512F6" w:rsidRDefault="30A512F6" w14:paraId="1C597F3B" w14:textId="195ACB3E">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p>
    <w:p w:rsidR="30A512F6" w:rsidP="30A512F6" w:rsidRDefault="30A512F6" w14:paraId="1DB0D220" w14:textId="1CF86347">
      <w:pPr>
        <w:pStyle w:val="Heading2"/>
        <w:spacing w:before="240" w:after="120"/>
      </w:pPr>
      <w:r w:rsidRPr="30A512F6" w:rsidR="30A512F6">
        <w:rPr>
          <w:rFonts w:ascii="Calibri" w:hAnsi="Calibri" w:eastAsia="Calibri" w:cs="Calibri"/>
          <w:color w:val="45126B"/>
          <w:u w:val="none"/>
        </w:rPr>
        <w:t>Catalysts</w:t>
      </w:r>
    </w:p>
    <w:p w:rsidR="5FF588A6" w:rsidP="30A512F6" w:rsidRDefault="5FF588A6" w14:paraId="75272DD6" w14:textId="79E5C6FA">
      <w:pPr>
        <w:pStyle w:val="ListParagraph"/>
        <w:numPr>
          <w:ilvl w:val="0"/>
          <w:numId w:val="7"/>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5FF588A6">
        <w:rPr>
          <w:b w:val="1"/>
          <w:bCs w:val="1"/>
          <w:i w:val="0"/>
          <w:iCs w:val="0"/>
          <w:caps w:val="0"/>
          <w:smallCaps w:val="0"/>
          <w:strike w:val="0"/>
          <w:dstrike w:val="0"/>
          <w:color w:val="000000"/>
          <w:sz w:val="22"/>
          <w:szCs w:val="22"/>
          <w:u w:val="none"/>
          <w:lang w:val="en-GB"/>
        </w:rPr>
        <w:t>Retatrutide and pipeline catalysts</w:t>
      </w:r>
      <w:r w:rsidRPr="30A512F6" w:rsidR="5FF588A6">
        <w:rPr>
          <w:b w:val="0"/>
          <w:bCs w:val="0"/>
          <w:i w:val="0"/>
          <w:iCs w:val="0"/>
          <w:caps w:val="0"/>
          <w:smallCaps w:val="0"/>
          <w:strike w:val="0"/>
          <w:dstrike w:val="0"/>
          <w:color w:val="000000"/>
          <w:sz w:val="22"/>
          <w:szCs w:val="22"/>
          <w:u w:val="none"/>
          <w:lang w:val="en-GB"/>
        </w:rPr>
        <w:t xml:space="preserve"> could extend Lilly’s growth runway beyond current expectations.</w:t>
      </w:r>
    </w:p>
    <w:p w:rsidR="5FF588A6" w:rsidP="30A512F6" w:rsidRDefault="5FF588A6" w14:paraId="4074E91B" w14:textId="56EFDA20">
      <w:pPr>
        <w:pStyle w:val="ListParagraph"/>
        <w:numPr>
          <w:ilvl w:val="0"/>
          <w:numId w:val="7"/>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5FF588A6">
        <w:rPr>
          <w:b w:val="1"/>
          <w:bCs w:val="1"/>
          <w:i w:val="0"/>
          <w:iCs w:val="0"/>
          <w:caps w:val="0"/>
          <w:smallCaps w:val="0"/>
          <w:strike w:val="0"/>
          <w:dstrike w:val="0"/>
          <w:color w:val="000000"/>
          <w:sz w:val="22"/>
          <w:szCs w:val="22"/>
          <w:u w:val="none"/>
          <w:lang w:val="en-GB"/>
        </w:rPr>
        <w:t>International expansion</w:t>
      </w:r>
      <w:r w:rsidRPr="30A512F6" w:rsidR="5FF588A6">
        <w:rPr>
          <w:b w:val="0"/>
          <w:bCs w:val="0"/>
          <w:i w:val="0"/>
          <w:iCs w:val="0"/>
          <w:caps w:val="0"/>
          <w:smallCaps w:val="0"/>
          <w:strike w:val="0"/>
          <w:dstrike w:val="0"/>
          <w:color w:val="000000"/>
          <w:sz w:val="22"/>
          <w:szCs w:val="22"/>
          <w:u w:val="none"/>
          <w:lang w:val="en-GB"/>
        </w:rPr>
        <w:t xml:space="preserve"> of Mounjaro and Zepbound offers additional upside as penetration increases across underdeveloped ex-U.S. markets.</w:t>
      </w:r>
    </w:p>
    <w:p w:rsidR="5FF588A6" w:rsidP="30A512F6" w:rsidRDefault="5FF588A6" w14:paraId="7B1F828F" w14:textId="1C9DDA3E">
      <w:pPr>
        <w:pStyle w:val="ListParagraph"/>
        <w:numPr>
          <w:ilvl w:val="0"/>
          <w:numId w:val="7"/>
        </w:numPr>
        <w:spacing w:before="0" w:beforeAutospacing="off" w:after="0" w:afterAutospacing="off"/>
        <w:rPr>
          <w:b w:val="0"/>
          <w:bCs w:val="0"/>
          <w:i w:val="0"/>
          <w:iCs w:val="0"/>
          <w:caps w:val="0"/>
          <w:smallCaps w:val="0"/>
          <w:strike w:val="0"/>
          <w:dstrike w:val="0"/>
          <w:color w:val="000000"/>
          <w:sz w:val="22"/>
          <w:szCs w:val="22"/>
          <w:u w:val="none"/>
          <w:lang w:val="en-GB"/>
        </w:rPr>
      </w:pPr>
      <w:r w:rsidRPr="30A512F6" w:rsidR="5FF588A6">
        <w:rPr>
          <w:b w:val="1"/>
          <w:bCs w:val="1"/>
          <w:i w:val="0"/>
          <w:iCs w:val="0"/>
          <w:caps w:val="0"/>
          <w:smallCaps w:val="0"/>
          <w:strike w:val="0"/>
          <w:dstrike w:val="0"/>
          <w:color w:val="000000"/>
          <w:sz w:val="22"/>
          <w:szCs w:val="22"/>
          <w:u w:val="none"/>
          <w:lang w:val="en-GB"/>
        </w:rPr>
        <w:t>Further guidance upgrades</w:t>
      </w:r>
      <w:r w:rsidRPr="30A512F6" w:rsidR="5FF588A6">
        <w:rPr>
          <w:b w:val="0"/>
          <w:bCs w:val="0"/>
          <w:i w:val="0"/>
          <w:iCs w:val="0"/>
          <w:caps w:val="0"/>
          <w:smallCaps w:val="0"/>
          <w:strike w:val="0"/>
          <w:dstrike w:val="0"/>
          <w:color w:val="000000"/>
          <w:sz w:val="22"/>
          <w:szCs w:val="22"/>
          <w:u w:val="none"/>
          <w:lang w:val="en-GB"/>
        </w:rPr>
        <w:t xml:space="preserve"> would reinforce the positive momentum established by two upward revisions in 2026.</w:t>
      </w:r>
    </w:p>
    <w:p w:rsidR="5FF588A6" w:rsidP="30A512F6" w:rsidRDefault="5FF588A6" w14:paraId="5904935C" w14:textId="745A0FF3">
      <w:pPr>
        <w:pStyle w:val="ListParagraph"/>
        <w:numPr>
          <w:ilvl w:val="0"/>
          <w:numId w:val="7"/>
        </w:numPr>
        <w:spacing w:before="0" w:beforeAutospacing="off" w:after="0" w:afterAutospacing="off"/>
        <w:rPr>
          <w:b w:val="0"/>
          <w:bCs w:val="0"/>
          <w:i w:val="0"/>
          <w:iCs w:val="0"/>
          <w:caps w:val="0"/>
          <w:smallCaps w:val="0"/>
          <w:strike w:val="0"/>
          <w:dstrike w:val="0"/>
          <w:color w:val="000000"/>
          <w:u w:val="none"/>
          <w:lang w:val="en-GB"/>
        </w:rPr>
      </w:pPr>
      <w:r w:rsidRPr="30A512F6" w:rsidR="5FF588A6">
        <w:rPr>
          <w:b w:val="1"/>
          <w:bCs w:val="1"/>
          <w:i w:val="0"/>
          <w:iCs w:val="0"/>
          <w:caps w:val="0"/>
          <w:smallCaps w:val="0"/>
          <w:strike w:val="0"/>
          <w:dstrike w:val="0"/>
          <w:color w:val="000000"/>
          <w:sz w:val="22"/>
          <w:szCs w:val="22"/>
          <w:u w:val="none"/>
          <w:lang w:val="en-GB"/>
        </w:rPr>
        <w:t>Foundayo adoption</w:t>
      </w:r>
      <w:r w:rsidRPr="30A512F6" w:rsidR="5FF588A6">
        <w:rPr>
          <w:b w:val="0"/>
          <w:bCs w:val="0"/>
          <w:i w:val="0"/>
          <w:iCs w:val="0"/>
          <w:caps w:val="0"/>
          <w:smallCaps w:val="0"/>
          <w:strike w:val="0"/>
          <w:dstrike w:val="0"/>
          <w:color w:val="000000"/>
          <w:sz w:val="22"/>
          <w:szCs w:val="22"/>
          <w:u w:val="none"/>
          <w:lang w:val="en-GB"/>
        </w:rPr>
        <w:t xml:space="preserve"> will be a critical indicator of the potential scale of the oral GLP-1 market</w:t>
      </w:r>
      <w:r w:rsidRPr="30A512F6" w:rsidR="5FF588A6">
        <w:rPr>
          <w:b w:val="0"/>
          <w:bCs w:val="0"/>
          <w:i w:val="0"/>
          <w:iCs w:val="0"/>
          <w:caps w:val="0"/>
          <w:smallCaps w:val="0"/>
          <w:strike w:val="0"/>
          <w:dstrike w:val="0"/>
          <w:color w:val="000000"/>
          <w:u w:val="none"/>
          <w:lang w:val="en-GB"/>
        </w:rPr>
        <w:t>.</w:t>
      </w:r>
    </w:p>
    <w:p w:rsidR="30A512F6" w:rsidP="30A512F6" w:rsidRDefault="30A512F6" w14:paraId="26C9411F" w14:textId="6336884E">
      <w:pPr>
        <w:pStyle w:val="Heading2"/>
        <w:spacing w:before="240" w:after="120"/>
        <w:rPr>
          <w:rFonts w:ascii="Calibri" w:hAnsi="Calibri" w:eastAsia="Calibri" w:cs="Calibri"/>
          <w:color w:val="45126B"/>
          <w:u w:val="none"/>
        </w:rPr>
      </w:pPr>
    </w:p>
    <w:p xmlns:wp14="http://schemas.microsoft.com/office/word/2010/wordml" w14:paraId="44EAFD9C" wp14:textId="77777777">
      <w:r>
        <w:br w:type="page"/>
      </w:r>
    </w:p>
    <w:p xmlns:wp14="http://schemas.microsoft.com/office/word/2010/wordml" w:rsidP="30A512F6" w14:paraId="441F7D42"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Key Risks</w:t>
      </w:r>
    </w:p>
    <w:p w:rsidR="30A512F6" w:rsidP="30A512F6" w:rsidRDefault="30A512F6" w14:paraId="1D779FE9" w14:textId="755CE28E">
      <w:pPr>
        <w:pStyle w:val="Normal"/>
        <w:spacing w:after="100"/>
        <w:ind w:left="0"/>
        <w:rPr>
          <w:b w:val="0"/>
          <w:bCs w:val="0"/>
          <w:i w:val="0"/>
          <w:iCs w:val="0"/>
          <w:caps w:val="0"/>
          <w:smallCaps w:val="0"/>
          <w:strike w:val="0"/>
          <w:dstrike w:val="0"/>
          <w:color w:val="000000"/>
          <w:u w:val="none"/>
          <w:lang w:val="en-GB"/>
        </w:rPr>
      </w:pPr>
    </w:p>
    <w:p w:rsidR="45D98F1E" w:rsidP="30A512F6" w:rsidRDefault="45D98F1E" w14:paraId="4D75BA5B" w14:textId="1A2B8BFE">
      <w:pPr>
        <w:pStyle w:val="ListParagraph"/>
        <w:numPr>
          <w:ilvl w:val="0"/>
          <w:numId w:val="2"/>
        </w:numPr>
        <w:spacing w:after="100"/>
        <w:rPr>
          <w:b w:val="0"/>
          <w:bCs w:val="0"/>
          <w:i w:val="0"/>
          <w:iCs w:val="0"/>
          <w:caps w:val="0"/>
          <w:smallCaps w:val="0"/>
          <w:strike w:val="0"/>
          <w:dstrike w:val="0"/>
          <w:color w:val="000000"/>
          <w:sz w:val="22"/>
          <w:szCs w:val="22"/>
          <w:u w:val="none"/>
          <w:lang w:val="en-GB"/>
        </w:rPr>
      </w:pPr>
      <w:r w:rsidRPr="30A512F6" w:rsidR="45D98F1E">
        <w:rPr>
          <w:b w:val="1"/>
          <w:bCs w:val="1"/>
          <w:i w:val="0"/>
          <w:iCs w:val="0"/>
          <w:caps w:val="0"/>
          <w:smallCaps w:val="0"/>
          <w:strike w:val="0"/>
          <w:dstrike w:val="0"/>
          <w:color w:val="000000"/>
          <w:sz w:val="22"/>
          <w:szCs w:val="22"/>
          <w:u w:val="none"/>
          <w:lang w:val="en-GB"/>
        </w:rPr>
        <w:t>Competitive risk:</w:t>
      </w:r>
      <w:r w:rsidRPr="30A512F6" w:rsidR="45D98F1E">
        <w:rPr>
          <w:b w:val="0"/>
          <w:bCs w:val="0"/>
          <w:i w:val="0"/>
          <w:iCs w:val="0"/>
          <w:caps w:val="0"/>
          <w:smallCaps w:val="0"/>
          <w:strike w:val="0"/>
          <w:dstrike w:val="0"/>
          <w:color w:val="000000"/>
          <w:sz w:val="22"/>
          <w:szCs w:val="22"/>
          <w:u w:val="none"/>
          <w:lang w:val="en-GB"/>
        </w:rPr>
        <w:t xml:space="preserve"> Novo Nordisk and other GLP-1 entrants could capture market share faster than expected, particularly as the emerging </w:t>
      </w:r>
      <w:r w:rsidRPr="30A512F6" w:rsidR="45D98F1E">
        <w:rPr>
          <w:b w:val="1"/>
          <w:bCs w:val="1"/>
          <w:i w:val="0"/>
          <w:iCs w:val="0"/>
          <w:caps w:val="0"/>
          <w:smallCaps w:val="0"/>
          <w:strike w:val="0"/>
          <w:dstrike w:val="0"/>
          <w:color w:val="000000"/>
          <w:sz w:val="22"/>
          <w:szCs w:val="22"/>
          <w:u w:val="none"/>
          <w:lang w:val="en-GB"/>
        </w:rPr>
        <w:t xml:space="preserve">oral GLP-1 segment </w:t>
      </w:r>
      <w:r w:rsidRPr="30A512F6" w:rsidR="45D98F1E">
        <w:rPr>
          <w:b w:val="1"/>
          <w:bCs w:val="1"/>
          <w:i w:val="0"/>
          <w:iCs w:val="0"/>
          <w:caps w:val="0"/>
          <w:smallCaps w:val="0"/>
          <w:strike w:val="0"/>
          <w:dstrike w:val="0"/>
          <w:color w:val="000000"/>
          <w:sz w:val="22"/>
          <w:szCs w:val="22"/>
          <w:u w:val="none"/>
          <w:lang w:val="en-GB"/>
        </w:rPr>
        <w:t>remains</w:t>
      </w:r>
      <w:r w:rsidRPr="30A512F6" w:rsidR="45D98F1E">
        <w:rPr>
          <w:b w:val="1"/>
          <w:bCs w:val="1"/>
          <w:i w:val="0"/>
          <w:iCs w:val="0"/>
          <w:caps w:val="0"/>
          <w:smallCaps w:val="0"/>
          <w:strike w:val="0"/>
          <w:dstrike w:val="0"/>
          <w:color w:val="000000"/>
          <w:sz w:val="22"/>
          <w:szCs w:val="22"/>
          <w:u w:val="none"/>
          <w:lang w:val="en-GB"/>
        </w:rPr>
        <w:t xml:space="preserve"> highly competitive and unsettled</w:t>
      </w:r>
      <w:r w:rsidRPr="30A512F6" w:rsidR="45D98F1E">
        <w:rPr>
          <w:b w:val="0"/>
          <w:bCs w:val="0"/>
          <w:i w:val="0"/>
          <w:iCs w:val="0"/>
          <w:caps w:val="0"/>
          <w:smallCaps w:val="0"/>
          <w:strike w:val="0"/>
          <w:dstrike w:val="0"/>
          <w:color w:val="000000"/>
          <w:sz w:val="22"/>
          <w:szCs w:val="22"/>
          <w:u w:val="none"/>
          <w:lang w:val="en-GB"/>
        </w:rPr>
        <w:t>.</w:t>
      </w:r>
    </w:p>
    <w:p w:rsidR="30A512F6" w:rsidP="30A512F6" w:rsidRDefault="30A512F6" w14:paraId="12895EAD" w14:textId="41C0506E">
      <w:pPr>
        <w:pStyle w:val="ListParagraph"/>
        <w:spacing w:after="100"/>
        <w:ind w:left="360"/>
        <w:rPr>
          <w:b w:val="0"/>
          <w:bCs w:val="0"/>
          <w:i w:val="0"/>
          <w:iCs w:val="0"/>
          <w:caps w:val="0"/>
          <w:smallCaps w:val="0"/>
          <w:strike w:val="0"/>
          <w:dstrike w:val="0"/>
          <w:color w:val="000000"/>
          <w:sz w:val="22"/>
          <w:szCs w:val="22"/>
          <w:u w:val="none"/>
          <w:lang w:val="en-GB"/>
        </w:rPr>
      </w:pPr>
    </w:p>
    <w:p xmlns:wp14="http://schemas.microsoft.com/office/word/2010/wordml" w:rsidP="30A512F6" w14:paraId="53CD5A24" wp14:textId="07496F4C">
      <w:pPr>
        <w:pStyle w:val="ListParagraph"/>
        <w:numPr>
          <w:ilvl w:val="0"/>
          <w:numId w:val="2"/>
        </w:numPr>
        <w:spacing w:after="100"/>
        <w:rPr>
          <w:b w:val="0"/>
          <w:bCs w:val="0"/>
          <w:i w:val="0"/>
          <w:iCs w:val="0"/>
          <w:caps w:val="0"/>
          <w:smallCaps w:val="0"/>
          <w:strike w:val="0"/>
          <w:dstrike w:val="0"/>
          <w:color w:val="000000"/>
          <w:sz w:val="22"/>
          <w:szCs w:val="22"/>
          <w:u w:val="none"/>
          <w:lang w:val="en-GB"/>
        </w:rPr>
      </w:pPr>
      <w:r w:rsidRPr="30A512F6" w:rsidR="45D98F1E">
        <w:rPr>
          <w:b w:val="1"/>
          <w:bCs w:val="1"/>
          <w:i w:val="0"/>
          <w:iCs w:val="0"/>
          <w:caps w:val="0"/>
          <w:smallCaps w:val="0"/>
          <w:strike w:val="0"/>
          <w:dstrike w:val="0"/>
          <w:color w:val="000000"/>
          <w:sz w:val="22"/>
          <w:szCs w:val="22"/>
          <w:u w:val="none"/>
          <w:lang w:val="en-GB"/>
        </w:rPr>
        <w:t>Concentration risk:</w:t>
      </w:r>
      <w:r w:rsidRPr="30A512F6" w:rsidR="45D98F1E">
        <w:rPr>
          <w:b w:val="0"/>
          <w:bCs w:val="0"/>
          <w:i w:val="0"/>
          <w:iCs w:val="0"/>
          <w:caps w:val="0"/>
          <w:smallCaps w:val="0"/>
          <w:strike w:val="0"/>
          <w:dstrike w:val="0"/>
          <w:color w:val="000000"/>
          <w:sz w:val="22"/>
          <w:szCs w:val="22"/>
          <w:u w:val="none"/>
          <w:lang w:val="en-GB"/>
        </w:rPr>
        <w:t xml:space="preserve"> More than half of Lilly’s revenue is now tied to its </w:t>
      </w:r>
      <w:r w:rsidRPr="30A512F6" w:rsidR="45D98F1E">
        <w:rPr>
          <w:b w:val="1"/>
          <w:bCs w:val="1"/>
          <w:i w:val="0"/>
          <w:iCs w:val="0"/>
          <w:caps w:val="0"/>
          <w:smallCaps w:val="0"/>
          <w:strike w:val="0"/>
          <w:dstrike w:val="0"/>
          <w:color w:val="000000"/>
          <w:sz w:val="22"/>
          <w:szCs w:val="22"/>
          <w:u w:val="none"/>
          <w:lang w:val="en-GB"/>
        </w:rPr>
        <w:t>GLP-1/incretin franchise</w:t>
      </w:r>
      <w:r w:rsidRPr="30A512F6" w:rsidR="45D98F1E">
        <w:rPr>
          <w:b w:val="0"/>
          <w:bCs w:val="0"/>
          <w:i w:val="0"/>
          <w:iCs w:val="0"/>
          <w:caps w:val="0"/>
          <w:smallCaps w:val="0"/>
          <w:strike w:val="0"/>
          <w:dstrike w:val="0"/>
          <w:color w:val="000000"/>
          <w:sz w:val="22"/>
          <w:szCs w:val="22"/>
          <w:u w:val="none"/>
          <w:lang w:val="en-GB"/>
        </w:rPr>
        <w:t xml:space="preserve"> creating greater exposure to product-specific, </w:t>
      </w:r>
      <w:r w:rsidRPr="30A512F6" w:rsidR="45D98F1E">
        <w:rPr>
          <w:b w:val="0"/>
          <w:bCs w:val="0"/>
          <w:i w:val="0"/>
          <w:iCs w:val="0"/>
          <w:caps w:val="0"/>
          <w:smallCaps w:val="0"/>
          <w:strike w:val="0"/>
          <w:dstrike w:val="0"/>
          <w:color w:val="000000"/>
          <w:sz w:val="22"/>
          <w:szCs w:val="22"/>
          <w:u w:val="none"/>
          <w:lang w:val="en-GB"/>
        </w:rPr>
        <w:t>competitive</w:t>
      </w:r>
      <w:r w:rsidRPr="30A512F6" w:rsidR="45D98F1E">
        <w:rPr>
          <w:b w:val="0"/>
          <w:bCs w:val="0"/>
          <w:i w:val="0"/>
          <w:iCs w:val="0"/>
          <w:caps w:val="0"/>
          <w:smallCaps w:val="0"/>
          <w:strike w:val="0"/>
          <w:dstrike w:val="0"/>
          <w:color w:val="000000"/>
          <w:sz w:val="22"/>
          <w:szCs w:val="22"/>
          <w:u w:val="none"/>
          <w:lang w:val="en-GB"/>
        </w:rPr>
        <w:t xml:space="preserve"> and regulatory risks than a more diversified pharmaceutical portfolio.</w:t>
      </w:r>
    </w:p>
    <w:p w:rsidR="30A512F6" w:rsidP="30A512F6" w:rsidRDefault="30A512F6" w14:paraId="2D332A97" w14:textId="1BB00E77">
      <w:pPr>
        <w:pStyle w:val="ListParagraph"/>
        <w:spacing w:after="100"/>
        <w:ind w:left="360"/>
        <w:rPr>
          <w:rFonts w:ascii="Calibri" w:hAnsi="Calibri" w:eastAsia="Calibri" w:cs="Calibri"/>
          <w:color w:val="222222"/>
          <w:sz w:val="22"/>
          <w:szCs w:val="22"/>
        </w:rPr>
      </w:pPr>
    </w:p>
    <w:p xmlns:wp14="http://schemas.microsoft.com/office/word/2010/wordml" w:rsidP="30A512F6" w14:paraId="2F201A47" wp14:textId="2CF1A8D0">
      <w:pPr>
        <w:pStyle w:val="ListParagraph"/>
        <w:numPr>
          <w:ilvl w:val="0"/>
          <w:numId w:val="2"/>
        </w:numPr>
        <w:spacing w:after="100"/>
        <w:rPr>
          <w:b w:val="0"/>
          <w:bCs w:val="0"/>
          <w:i w:val="0"/>
          <w:iCs w:val="0"/>
          <w:caps w:val="0"/>
          <w:smallCaps w:val="0"/>
          <w:strike w:val="0"/>
          <w:dstrike w:val="0"/>
          <w:color w:val="000000"/>
          <w:sz w:val="22"/>
          <w:szCs w:val="22"/>
          <w:u w:val="none"/>
          <w:lang w:val="en-GB"/>
        </w:rPr>
      </w:pPr>
      <w:r w:rsidRPr="30A512F6" w:rsidR="45D98F1E">
        <w:rPr>
          <w:b w:val="1"/>
          <w:bCs w:val="1"/>
          <w:i w:val="0"/>
          <w:iCs w:val="0"/>
          <w:caps w:val="0"/>
          <w:smallCaps w:val="0"/>
          <w:strike w:val="0"/>
          <w:dstrike w:val="0"/>
          <w:color w:val="000000"/>
          <w:sz w:val="22"/>
          <w:szCs w:val="22"/>
          <w:u w:val="none"/>
          <w:lang w:val="en-GB"/>
        </w:rPr>
        <w:t>Working capital and execution risk:</w:t>
      </w:r>
      <w:r w:rsidRPr="30A512F6" w:rsidR="45D98F1E">
        <w:rPr>
          <w:b w:val="0"/>
          <w:bCs w:val="0"/>
          <w:i w:val="0"/>
          <w:iCs w:val="0"/>
          <w:caps w:val="0"/>
          <w:smallCaps w:val="0"/>
          <w:strike w:val="0"/>
          <w:dstrike w:val="0"/>
          <w:color w:val="000000"/>
          <w:sz w:val="22"/>
          <w:szCs w:val="22"/>
          <w:u w:val="none"/>
          <w:lang w:val="en-GB"/>
        </w:rPr>
        <w:t xml:space="preserve"> Inventory days have risen to </w:t>
      </w:r>
      <w:r w:rsidRPr="30A512F6" w:rsidR="45D98F1E">
        <w:rPr>
          <w:b w:val="1"/>
          <w:bCs w:val="1"/>
          <w:i w:val="0"/>
          <w:iCs w:val="0"/>
          <w:caps w:val="0"/>
          <w:smallCaps w:val="0"/>
          <w:strike w:val="0"/>
          <w:dstrike w:val="0"/>
          <w:color w:val="000000"/>
          <w:sz w:val="22"/>
          <w:szCs w:val="22"/>
          <w:u w:val="none"/>
          <w:lang w:val="en-GB"/>
        </w:rPr>
        <w:t xml:space="preserve">454 </w:t>
      </w:r>
      <w:r w:rsidRPr="30A512F6" w:rsidR="45D98F1E">
        <w:rPr>
          <w:b w:val="0"/>
          <w:bCs w:val="0"/>
          <w:i w:val="0"/>
          <w:iCs w:val="0"/>
          <w:caps w:val="0"/>
          <w:smallCaps w:val="0"/>
          <w:strike w:val="0"/>
          <w:dstrike w:val="0"/>
          <w:color w:val="000000"/>
          <w:sz w:val="22"/>
          <w:szCs w:val="22"/>
          <w:u w:val="none"/>
          <w:lang w:val="en-GB"/>
        </w:rPr>
        <w:t xml:space="preserve">while capital expenditures have increased </w:t>
      </w:r>
      <w:r w:rsidRPr="30A512F6" w:rsidR="45D98F1E">
        <w:rPr>
          <w:b w:val="0"/>
          <w:bCs w:val="0"/>
          <w:i w:val="0"/>
          <w:iCs w:val="0"/>
          <w:caps w:val="0"/>
          <w:smallCaps w:val="0"/>
          <w:strike w:val="0"/>
          <w:dstrike w:val="0"/>
          <w:color w:val="000000"/>
          <w:sz w:val="22"/>
          <w:szCs w:val="22"/>
          <w:u w:val="none"/>
          <w:lang w:val="en-GB"/>
        </w:rPr>
        <w:t xml:space="preserve">nearly </w:t>
      </w:r>
      <w:r w:rsidRPr="30A512F6" w:rsidR="45D98F1E">
        <w:rPr>
          <w:b w:val="1"/>
          <w:bCs w:val="1"/>
          <w:i w:val="0"/>
          <w:iCs w:val="0"/>
          <w:caps w:val="0"/>
          <w:smallCaps w:val="0"/>
          <w:strike w:val="0"/>
          <w:dstrike w:val="0"/>
          <w:color w:val="000000"/>
          <w:sz w:val="22"/>
          <w:szCs w:val="22"/>
          <w:u w:val="none"/>
          <w:lang w:val="en-GB"/>
        </w:rPr>
        <w:t>500%</w:t>
      </w:r>
      <w:r w:rsidRPr="30A512F6" w:rsidR="45D98F1E">
        <w:rPr>
          <w:b w:val="1"/>
          <w:bCs w:val="1"/>
          <w:i w:val="0"/>
          <w:iCs w:val="0"/>
          <w:caps w:val="0"/>
          <w:smallCaps w:val="0"/>
          <w:strike w:val="0"/>
          <w:dstrike w:val="0"/>
          <w:color w:val="000000"/>
          <w:sz w:val="22"/>
          <w:szCs w:val="22"/>
          <w:u w:val="none"/>
          <w:lang w:val="en-GB"/>
        </w:rPr>
        <w:t xml:space="preserve"> since 2021</w:t>
      </w:r>
      <w:r w:rsidRPr="30A512F6" w:rsidR="45D98F1E">
        <w:rPr>
          <w:b w:val="0"/>
          <w:bCs w:val="0"/>
          <w:i w:val="0"/>
          <w:iCs w:val="0"/>
          <w:caps w:val="0"/>
          <w:smallCaps w:val="0"/>
          <w:strike w:val="0"/>
          <w:dstrike w:val="0"/>
          <w:color w:val="000000"/>
          <w:sz w:val="22"/>
          <w:szCs w:val="22"/>
          <w:u w:val="none"/>
          <w:lang w:val="en-GB"/>
        </w:rPr>
        <w:t xml:space="preserve"> highlighting the operational demands of rapid manufacturing expansion. Any execution issues could place further pressure on </w:t>
      </w:r>
      <w:r w:rsidRPr="30A512F6" w:rsidR="45D98F1E">
        <w:rPr>
          <w:b w:val="1"/>
          <w:bCs w:val="1"/>
          <w:i w:val="0"/>
          <w:iCs w:val="0"/>
          <w:caps w:val="0"/>
          <w:smallCaps w:val="0"/>
          <w:strike w:val="0"/>
          <w:dstrike w:val="0"/>
          <w:color w:val="000000"/>
          <w:sz w:val="22"/>
          <w:szCs w:val="22"/>
          <w:u w:val="none"/>
          <w:lang w:val="en-GB"/>
        </w:rPr>
        <w:t>cash flow and growth capacity</w:t>
      </w:r>
      <w:r w:rsidRPr="30A512F6" w:rsidR="45D98F1E">
        <w:rPr>
          <w:b w:val="0"/>
          <w:bCs w:val="0"/>
          <w:i w:val="0"/>
          <w:iCs w:val="0"/>
          <w:caps w:val="0"/>
          <w:smallCaps w:val="0"/>
          <w:strike w:val="0"/>
          <w:dstrike w:val="0"/>
          <w:color w:val="000000"/>
          <w:sz w:val="22"/>
          <w:szCs w:val="22"/>
          <w:u w:val="none"/>
          <w:lang w:val="en-GB"/>
        </w:rPr>
        <w:t>.</w:t>
      </w:r>
    </w:p>
    <w:p w:rsidR="30A512F6" w:rsidP="30A512F6" w:rsidRDefault="30A512F6" w14:paraId="04B59D7D" w14:textId="4C87D55C">
      <w:pPr>
        <w:pStyle w:val="ListParagraph"/>
        <w:spacing w:after="100"/>
        <w:ind w:left="360"/>
        <w:rPr>
          <w:rFonts w:ascii="Calibri" w:hAnsi="Calibri" w:eastAsia="Calibri" w:cs="Calibri"/>
          <w:color w:val="222222"/>
          <w:sz w:val="22"/>
          <w:szCs w:val="22"/>
        </w:rPr>
      </w:pPr>
    </w:p>
    <w:p w:rsidR="45D98F1E" w:rsidP="30A512F6" w:rsidRDefault="45D98F1E" w14:paraId="7BD96551" w14:textId="14E3B9A3">
      <w:pPr>
        <w:pStyle w:val="ListParagraph"/>
        <w:numPr>
          <w:ilvl w:val="0"/>
          <w:numId w:val="2"/>
        </w:numPr>
        <w:spacing w:after="100"/>
        <w:rPr>
          <w:b w:val="0"/>
          <w:bCs w:val="0"/>
          <w:i w:val="0"/>
          <w:iCs w:val="0"/>
          <w:caps w:val="0"/>
          <w:smallCaps w:val="0"/>
          <w:strike w:val="0"/>
          <w:dstrike w:val="0"/>
          <w:noProof w:val="0"/>
          <w:color w:val="000000"/>
          <w:sz w:val="22"/>
          <w:szCs w:val="22"/>
          <w:u w:val="none"/>
          <w:lang w:val="en-US"/>
        </w:rPr>
      </w:pPr>
      <w:r w:rsidRPr="30A512F6" w:rsidR="45D98F1E">
        <w:rPr>
          <w:b w:val="1"/>
          <w:bCs w:val="1"/>
          <w:i w:val="0"/>
          <w:iCs w:val="0"/>
          <w:caps w:val="0"/>
          <w:smallCaps w:val="0"/>
          <w:strike w:val="0"/>
          <w:dstrike w:val="0"/>
          <w:noProof w:val="0"/>
          <w:color w:val="000000"/>
          <w:sz w:val="22"/>
          <w:szCs w:val="22"/>
          <w:u w:val="none"/>
          <w:lang w:val="en-US"/>
        </w:rPr>
        <w:t>Pricing and policy risk:</w:t>
      </w:r>
      <w:r w:rsidRPr="30A512F6" w:rsidR="45D98F1E">
        <w:rPr>
          <w:b w:val="0"/>
          <w:bCs w:val="0"/>
          <w:i w:val="0"/>
          <w:iCs w:val="0"/>
          <w:caps w:val="0"/>
          <w:smallCaps w:val="0"/>
          <w:strike w:val="0"/>
          <w:dstrike w:val="0"/>
          <w:noProof w:val="0"/>
          <w:color w:val="000000"/>
          <w:sz w:val="22"/>
          <w:szCs w:val="22"/>
          <w:u w:val="none"/>
          <w:lang w:val="en-US"/>
        </w:rPr>
        <w:t xml:space="preserve"> Government initiatives such as the </w:t>
      </w:r>
      <w:r w:rsidRPr="30A512F6" w:rsidR="45D98F1E">
        <w:rPr>
          <w:b w:val="1"/>
          <w:bCs w:val="1"/>
          <w:i w:val="0"/>
          <w:iCs w:val="0"/>
          <w:caps w:val="0"/>
          <w:smallCaps w:val="0"/>
          <w:strike w:val="0"/>
          <w:dstrike w:val="0"/>
          <w:noProof w:val="0"/>
          <w:color w:val="000000"/>
          <w:sz w:val="22"/>
          <w:szCs w:val="22"/>
          <w:u w:val="none"/>
          <w:lang w:val="en-US"/>
        </w:rPr>
        <w:t>Medicare GLP-1 Bridge Program</w:t>
      </w:r>
      <w:r w:rsidRPr="30A512F6" w:rsidR="45D98F1E">
        <w:rPr>
          <w:b w:val="0"/>
          <w:bCs w:val="0"/>
          <w:i w:val="0"/>
          <w:iCs w:val="0"/>
          <w:caps w:val="0"/>
          <w:smallCaps w:val="0"/>
          <w:strike w:val="0"/>
          <w:dstrike w:val="0"/>
          <w:noProof w:val="0"/>
          <w:color w:val="000000"/>
          <w:sz w:val="22"/>
          <w:szCs w:val="22"/>
          <w:u w:val="none"/>
          <w:lang w:val="en-US"/>
        </w:rPr>
        <w:t xml:space="preserve"> may broaden patient access while putting pressure on realized net prices. Continued </w:t>
      </w:r>
      <w:r w:rsidRPr="30A512F6" w:rsidR="45D98F1E">
        <w:rPr>
          <w:b w:val="1"/>
          <w:bCs w:val="1"/>
          <w:i w:val="0"/>
          <w:iCs w:val="0"/>
          <w:caps w:val="0"/>
          <w:smallCaps w:val="0"/>
          <w:strike w:val="0"/>
          <w:dstrike w:val="0"/>
          <w:noProof w:val="0"/>
          <w:color w:val="000000"/>
          <w:sz w:val="22"/>
          <w:szCs w:val="22"/>
          <w:u w:val="none"/>
          <w:lang w:val="en-US"/>
        </w:rPr>
        <w:t>U.S. drug pricing reforms</w:t>
      </w:r>
      <w:r w:rsidRPr="30A512F6" w:rsidR="45D98F1E">
        <w:rPr>
          <w:b w:val="0"/>
          <w:bCs w:val="0"/>
          <w:i w:val="0"/>
          <w:iCs w:val="0"/>
          <w:caps w:val="0"/>
          <w:smallCaps w:val="0"/>
          <w:strike w:val="0"/>
          <w:dstrike w:val="0"/>
          <w:noProof w:val="0"/>
          <w:color w:val="000000"/>
          <w:sz w:val="22"/>
          <w:szCs w:val="22"/>
          <w:u w:val="none"/>
          <w:lang w:val="en-US"/>
        </w:rPr>
        <w:t xml:space="preserve"> add further uncertainty to Lilly’s long-term revenue and margin outlook.</w:t>
      </w:r>
    </w:p>
    <w:p w:rsidR="30A512F6" w:rsidP="30A512F6" w:rsidRDefault="30A512F6" w14:paraId="745A824F" w14:textId="666FD1A3">
      <w:pPr>
        <w:pStyle w:val="ListParagraph"/>
        <w:spacing w:after="100"/>
        <w:ind w:left="360"/>
        <w:rPr>
          <w:b w:val="0"/>
          <w:bCs w:val="0"/>
          <w:i w:val="0"/>
          <w:iCs w:val="0"/>
          <w:caps w:val="0"/>
          <w:smallCaps w:val="0"/>
          <w:strike w:val="0"/>
          <w:dstrike w:val="0"/>
          <w:noProof w:val="0"/>
          <w:color w:val="000000"/>
          <w:sz w:val="22"/>
          <w:szCs w:val="22"/>
          <w:u w:val="none"/>
          <w:lang w:val="en-US"/>
        </w:rPr>
      </w:pPr>
    </w:p>
    <w:p w:rsidR="7374B243" w:rsidP="30A512F6" w:rsidRDefault="7374B243" w14:paraId="132DAFF5" w14:textId="13AF4FDA">
      <w:pPr>
        <w:pStyle w:val="ListParagraph"/>
        <w:numPr>
          <w:ilvl w:val="0"/>
          <w:numId w:val="2"/>
        </w:numPr>
        <w:spacing w:after="100"/>
        <w:rPr>
          <w:b w:val="0"/>
          <w:bCs w:val="0"/>
          <w:i w:val="0"/>
          <w:iCs w:val="0"/>
          <w:caps w:val="0"/>
          <w:smallCaps w:val="0"/>
          <w:strike w:val="0"/>
          <w:dstrike w:val="0"/>
          <w:noProof w:val="0"/>
          <w:color w:val="000000"/>
          <w:sz w:val="22"/>
          <w:szCs w:val="22"/>
          <w:u w:val="none"/>
          <w:lang w:val="en-US"/>
        </w:rPr>
      </w:pPr>
      <w:r w:rsidRPr="30A512F6" w:rsidR="7374B243">
        <w:rPr>
          <w:b w:val="1"/>
          <w:bCs w:val="1"/>
          <w:i w:val="0"/>
          <w:iCs w:val="0"/>
          <w:caps w:val="0"/>
          <w:smallCaps w:val="0"/>
          <w:strike w:val="0"/>
          <w:dstrike w:val="0"/>
          <w:noProof w:val="0"/>
          <w:color w:val="000000"/>
          <w:sz w:val="22"/>
          <w:szCs w:val="22"/>
          <w:u w:val="none"/>
          <w:lang w:val="en-US"/>
        </w:rPr>
        <w:t>Valuation risk:</w:t>
      </w:r>
      <w:r w:rsidRPr="30A512F6" w:rsidR="7374B243">
        <w:rPr>
          <w:b w:val="0"/>
          <w:bCs w:val="0"/>
          <w:i w:val="0"/>
          <w:iCs w:val="0"/>
          <w:caps w:val="0"/>
          <w:smallCaps w:val="0"/>
          <w:strike w:val="0"/>
          <w:dstrike w:val="0"/>
          <w:noProof w:val="0"/>
          <w:color w:val="000000"/>
          <w:sz w:val="22"/>
          <w:szCs w:val="22"/>
          <w:u w:val="none"/>
          <w:lang w:val="en-US"/>
        </w:rPr>
        <w:t xml:space="preserve"> Lilly’s </w:t>
      </w:r>
      <w:r w:rsidRPr="30A512F6" w:rsidR="7374B243">
        <w:rPr>
          <w:b w:val="1"/>
          <w:bCs w:val="1"/>
          <w:i w:val="0"/>
          <w:iCs w:val="0"/>
          <w:caps w:val="0"/>
          <w:smallCaps w:val="0"/>
          <w:strike w:val="0"/>
          <w:dstrike w:val="0"/>
          <w:noProof w:val="0"/>
          <w:color w:val="000000"/>
          <w:sz w:val="22"/>
          <w:szCs w:val="22"/>
          <w:u w:val="none"/>
          <w:lang w:val="en-US"/>
        </w:rPr>
        <w:t xml:space="preserve">32x forward P/E </w:t>
      </w:r>
      <w:r w:rsidRPr="30A512F6" w:rsidR="7374B243">
        <w:rPr>
          <w:b w:val="0"/>
          <w:bCs w:val="0"/>
          <w:i w:val="0"/>
          <w:iCs w:val="0"/>
          <w:caps w:val="0"/>
          <w:smallCaps w:val="0"/>
          <w:strike w:val="0"/>
          <w:dstrike w:val="0"/>
          <w:noProof w:val="0"/>
          <w:color w:val="000000"/>
          <w:sz w:val="22"/>
          <w:szCs w:val="22"/>
          <w:u w:val="none"/>
          <w:lang w:val="en-US"/>
        </w:rPr>
        <w:t xml:space="preserve">combined with a low beta assumption leaves the stock vulnerable to both execution disappointments and broader </w:t>
      </w:r>
      <w:bookmarkStart w:name="_Int_d7puNjlm" w:id="1302993067"/>
      <w:r w:rsidRPr="30A512F6" w:rsidR="7374B243">
        <w:rPr>
          <w:b w:val="0"/>
          <w:bCs w:val="0"/>
          <w:i w:val="0"/>
          <w:iCs w:val="0"/>
          <w:caps w:val="0"/>
          <w:smallCaps w:val="0"/>
          <w:strike w:val="0"/>
          <w:dstrike w:val="0"/>
          <w:noProof w:val="0"/>
          <w:color w:val="000000"/>
          <w:sz w:val="22"/>
          <w:szCs w:val="22"/>
          <w:u w:val="none"/>
          <w:lang w:val="en-US"/>
        </w:rPr>
        <w:t>growth</w:t>
      </w:r>
      <w:bookmarkEnd w:id="1302993067"/>
      <w:r w:rsidRPr="30A512F6" w:rsidR="7374B243">
        <w:rPr>
          <w:b w:val="0"/>
          <w:bCs w:val="0"/>
          <w:i w:val="0"/>
          <w:iCs w:val="0"/>
          <w:caps w:val="0"/>
          <w:smallCaps w:val="0"/>
          <w:strike w:val="0"/>
          <w:dstrike w:val="0"/>
          <w:noProof w:val="0"/>
          <w:color w:val="000000"/>
          <w:sz w:val="22"/>
          <w:szCs w:val="22"/>
          <w:u w:val="none"/>
          <w:lang w:val="en-US"/>
        </w:rPr>
        <w:t xml:space="preserve"> stock de-rating during market or rate shocks. Our sensitivity analysis highlights this exposure with </w:t>
      </w:r>
      <w:r w:rsidRPr="30A512F6" w:rsidR="7374B243">
        <w:rPr>
          <w:b w:val="0"/>
          <w:bCs w:val="0"/>
          <w:i w:val="0"/>
          <w:iCs w:val="0"/>
          <w:caps w:val="0"/>
          <w:smallCaps w:val="0"/>
          <w:strike w:val="0"/>
          <w:dstrike w:val="0"/>
          <w:noProof w:val="0"/>
          <w:color w:val="000000"/>
          <w:sz w:val="22"/>
          <w:szCs w:val="22"/>
          <w:u w:val="none"/>
          <w:lang w:val="en-US"/>
        </w:rPr>
        <w:t>modest changes in WACC or growth assumptions producing significant swings in implied value</w:t>
      </w:r>
      <w:r w:rsidRPr="30A512F6" w:rsidR="7374B243">
        <w:rPr>
          <w:b w:val="0"/>
          <w:bCs w:val="0"/>
          <w:i w:val="0"/>
          <w:iCs w:val="0"/>
          <w:caps w:val="0"/>
          <w:smallCaps w:val="0"/>
          <w:strike w:val="0"/>
          <w:dstrike w:val="0"/>
          <w:noProof w:val="0"/>
          <w:color w:val="000000"/>
          <w:sz w:val="22"/>
          <w:szCs w:val="22"/>
          <w:u w:val="none"/>
          <w:lang w:val="en-US"/>
        </w:rPr>
        <w:t>.</w:t>
      </w:r>
    </w:p>
    <w:p w:rsidR="30A512F6" w:rsidP="30A512F6" w:rsidRDefault="30A512F6" w14:paraId="00A9D07A" w14:textId="1B5BDE99">
      <w:pPr>
        <w:pStyle w:val="ListParagraph"/>
        <w:spacing w:after="100"/>
        <w:ind w:left="360"/>
        <w:rPr>
          <w:rFonts w:ascii="Calibri" w:hAnsi="Calibri" w:eastAsia="Calibri" w:cs="Calibri"/>
          <w:color w:val="222222"/>
          <w:sz w:val="22"/>
          <w:szCs w:val="22"/>
        </w:rPr>
      </w:pPr>
    </w:p>
    <w:p xmlns:wp14="http://schemas.microsoft.com/office/word/2010/wordml" w:rsidP="30A512F6" w14:paraId="26BC2D6F" wp14:textId="2992800B">
      <w:pPr>
        <w:pStyle w:val="ListParagraph"/>
        <w:numPr>
          <w:ilvl w:val="0"/>
          <w:numId w:val="2"/>
        </w:numPr>
        <w:spacing w:after="100"/>
        <w:rPr>
          <w:b w:val="0"/>
          <w:bCs w:val="0"/>
          <w:i w:val="0"/>
          <w:iCs w:val="0"/>
          <w:caps w:val="0"/>
          <w:smallCaps w:val="0"/>
          <w:strike w:val="0"/>
          <w:dstrike w:val="0"/>
          <w:noProof w:val="0"/>
          <w:color w:val="000000"/>
          <w:sz w:val="22"/>
          <w:szCs w:val="22"/>
          <w:u w:val="none"/>
          <w:lang w:val="en-US"/>
        </w:rPr>
      </w:pPr>
      <w:r w:rsidRPr="30A512F6" w:rsidR="14B38733">
        <w:rPr>
          <w:b w:val="1"/>
          <w:bCs w:val="1"/>
          <w:i w:val="0"/>
          <w:iCs w:val="0"/>
          <w:caps w:val="0"/>
          <w:smallCaps w:val="0"/>
          <w:strike w:val="0"/>
          <w:dstrike w:val="0"/>
          <w:noProof w:val="0"/>
          <w:color w:val="000000"/>
          <w:sz w:val="22"/>
          <w:szCs w:val="22"/>
          <w:u w:val="none"/>
          <w:lang w:val="en-US"/>
        </w:rPr>
        <w:t>Patent and franchise-decline risk:</w:t>
      </w:r>
      <w:r w:rsidRPr="30A512F6" w:rsidR="14B38733">
        <w:rPr>
          <w:b w:val="0"/>
          <w:bCs w:val="0"/>
          <w:i w:val="0"/>
          <w:iCs w:val="0"/>
          <w:caps w:val="0"/>
          <w:smallCaps w:val="0"/>
          <w:strike w:val="0"/>
          <w:dstrike w:val="0"/>
          <w:noProof w:val="0"/>
          <w:color w:val="000000"/>
          <w:sz w:val="22"/>
          <w:szCs w:val="22"/>
          <w:u w:val="none"/>
          <w:lang w:val="en-US"/>
        </w:rPr>
        <w:t xml:space="preserve"> </w:t>
      </w:r>
      <w:bookmarkStart w:name="_Int_WK7MYi8k" w:id="1084069344"/>
      <w:r w:rsidRPr="30A512F6" w:rsidR="14B38733">
        <w:rPr>
          <w:b w:val="0"/>
          <w:bCs w:val="0"/>
          <w:i w:val="0"/>
          <w:iCs w:val="0"/>
          <w:caps w:val="0"/>
          <w:smallCaps w:val="0"/>
          <w:strike w:val="0"/>
          <w:dstrike w:val="0"/>
          <w:noProof w:val="0"/>
          <w:color w:val="000000"/>
          <w:sz w:val="22"/>
          <w:szCs w:val="22"/>
          <w:u w:val="none"/>
          <w:lang w:val="en-US"/>
        </w:rPr>
        <w:t>Mature</w:t>
      </w:r>
      <w:bookmarkEnd w:id="1084069344"/>
      <w:r w:rsidRPr="30A512F6" w:rsidR="14B38733">
        <w:rPr>
          <w:b w:val="0"/>
          <w:bCs w:val="0"/>
          <w:i w:val="0"/>
          <w:iCs w:val="0"/>
          <w:caps w:val="0"/>
          <w:smallCaps w:val="0"/>
          <w:strike w:val="0"/>
          <w:dstrike w:val="0"/>
          <w:noProof w:val="0"/>
          <w:color w:val="000000"/>
          <w:sz w:val="22"/>
          <w:szCs w:val="22"/>
          <w:u w:val="none"/>
          <w:lang w:val="en-US"/>
        </w:rPr>
        <w:t xml:space="preserve"> products such as </w:t>
      </w:r>
      <w:r w:rsidRPr="30A512F6" w:rsidR="14B38733">
        <w:rPr>
          <w:b w:val="1"/>
          <w:bCs w:val="1"/>
          <w:i w:val="0"/>
          <w:iCs w:val="0"/>
          <w:caps w:val="0"/>
          <w:smallCaps w:val="0"/>
          <w:strike w:val="0"/>
          <w:dstrike w:val="0"/>
          <w:noProof w:val="0"/>
          <w:color w:val="000000"/>
          <w:sz w:val="22"/>
          <w:szCs w:val="22"/>
          <w:u w:val="none"/>
          <w:lang w:val="en-US"/>
        </w:rPr>
        <w:t xml:space="preserve">Trulicity, Humalog and </w:t>
      </w:r>
      <w:r w:rsidRPr="30A512F6" w:rsidR="14B38733">
        <w:rPr>
          <w:b w:val="1"/>
          <w:bCs w:val="1"/>
          <w:i w:val="0"/>
          <w:iCs w:val="0"/>
          <w:caps w:val="0"/>
          <w:smallCaps w:val="0"/>
          <w:strike w:val="0"/>
          <w:dstrike w:val="0"/>
          <w:noProof w:val="0"/>
          <w:color w:val="000000"/>
          <w:sz w:val="22"/>
          <w:szCs w:val="22"/>
          <w:u w:val="none"/>
          <w:lang w:val="en-US"/>
        </w:rPr>
        <w:t>Basaglar</w:t>
      </w:r>
      <w:r w:rsidRPr="30A512F6" w:rsidR="14B38733">
        <w:rPr>
          <w:b w:val="0"/>
          <w:bCs w:val="0"/>
          <w:i w:val="0"/>
          <w:iCs w:val="0"/>
          <w:caps w:val="0"/>
          <w:smallCaps w:val="0"/>
          <w:strike w:val="0"/>
          <w:dstrike w:val="0"/>
          <w:noProof w:val="0"/>
          <w:color w:val="000000"/>
          <w:sz w:val="22"/>
          <w:szCs w:val="22"/>
          <w:u w:val="none"/>
          <w:lang w:val="en-US"/>
        </w:rPr>
        <w:t xml:space="preserve"> are already in </w:t>
      </w:r>
      <w:r w:rsidRPr="30A512F6" w:rsidR="14B38733">
        <w:rPr>
          <w:b w:val="0"/>
          <w:bCs w:val="0"/>
          <w:i w:val="0"/>
          <w:iCs w:val="0"/>
          <w:caps w:val="0"/>
          <w:smallCaps w:val="0"/>
          <w:strike w:val="0"/>
          <w:dstrike w:val="0"/>
          <w:noProof w:val="0"/>
          <w:color w:val="000000"/>
          <w:sz w:val="22"/>
          <w:szCs w:val="22"/>
          <w:u w:val="none"/>
          <w:lang w:val="en-US"/>
        </w:rPr>
        <w:t>decline,</w:t>
      </w:r>
      <w:r w:rsidRPr="30A512F6" w:rsidR="14B38733">
        <w:rPr>
          <w:b w:val="0"/>
          <w:bCs w:val="0"/>
          <w:i w:val="0"/>
          <w:iCs w:val="0"/>
          <w:caps w:val="0"/>
          <w:smallCaps w:val="0"/>
          <w:strike w:val="0"/>
          <w:dstrike w:val="0"/>
          <w:noProof w:val="0"/>
          <w:color w:val="000000"/>
          <w:sz w:val="22"/>
          <w:szCs w:val="22"/>
          <w:u w:val="none"/>
          <w:lang w:val="en-US"/>
        </w:rPr>
        <w:t xml:space="preserve"> and the pace of erosion could accelerate as patent pressure and newer therapies reshape the portfolio. This makes the assumed rate of legacy-product decline an important valuation variable.</w:t>
      </w:r>
    </w:p>
    <w:p xmlns:wp14="http://schemas.microsoft.com/office/word/2010/wordml" w14:paraId="4B94D5A5" wp14:textId="77777777">
      <w:r>
        <w:br w:type="page"/>
      </w:r>
    </w:p>
    <w:p xmlns:wp14="http://schemas.microsoft.com/office/word/2010/wordml" w:rsidP="30A512F6" w14:paraId="0BD0253C" wp14:textId="77777777">
      <w:pPr>
        <w:pStyle w:val="Heading1"/>
        <w:spacing w:before="320" w:after="160"/>
        <w:rPr>
          <w:rFonts w:ascii="Calibri" w:hAnsi="Calibri" w:eastAsia="Calibri" w:cs="Calibri"/>
          <w:color w:val="152E4A"/>
        </w:rPr>
      </w:pPr>
      <w:r w:rsidRPr="30A512F6" w:rsidR="30A512F6">
        <w:rPr>
          <w:rFonts w:ascii="Calibri" w:hAnsi="Calibri" w:eastAsia="Calibri" w:cs="Calibri"/>
          <w:color w:val="152E4A"/>
        </w:rPr>
        <w:t>Conclusion &amp; Recommendation</w:t>
      </w:r>
    </w:p>
    <w:p xmlns:wp14="http://schemas.microsoft.com/office/word/2010/wordml" w:rsidP="30A512F6" w14:paraId="6676BBBF" wp14:textId="4044AB89">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p>
    <w:p xmlns:wp14="http://schemas.microsoft.com/office/word/2010/wordml" w:rsidP="30A512F6" w14:paraId="24687B7B" wp14:textId="472301F1">
      <w:pPr>
        <w:pStyle w:val="Normal"/>
        <w:spacing w:after="160" w:line="276" w:lineRule="auto"/>
        <w:jc w:val="both"/>
        <w:rPr>
          <w:rFonts w:ascii="Calibri" w:hAnsi="Calibri" w:eastAsia="Calibri" w:cs="Calibri"/>
          <w:b w:val="0"/>
          <w:bCs w:val="0"/>
          <w:i w:val="0"/>
          <w:iCs w:val="0"/>
          <w:caps w:val="0"/>
          <w:smallCaps w:val="0"/>
          <w:strike w:val="0"/>
          <w:dstrike w:val="0"/>
          <w:noProof w:val="0"/>
          <w:color w:val="000000"/>
          <w:sz w:val="22"/>
          <w:szCs w:val="22"/>
          <w:u w:val="none"/>
          <w:lang w:val="en-US"/>
        </w:rPr>
      </w:pPr>
      <w:r w:rsidRPr="30A512F6" w:rsidR="5094A3AF">
        <w:rPr>
          <w:rFonts w:ascii="Calibri" w:hAnsi="Calibri" w:eastAsia="Calibri" w:cs="Calibri"/>
          <w:b w:val="0"/>
          <w:bCs w:val="0"/>
          <w:i w:val="0"/>
          <w:iCs w:val="0"/>
          <w:caps w:val="0"/>
          <w:smallCaps w:val="0"/>
          <w:strike w:val="0"/>
          <w:dstrike w:val="0"/>
          <w:noProof w:val="0"/>
          <w:color w:val="000000"/>
          <w:sz w:val="22"/>
          <w:szCs w:val="22"/>
          <w:u w:val="none"/>
          <w:lang w:val="en-US"/>
        </w:rPr>
        <w:t xml:space="preserve">Eli Lilly’s recent performance has been </w:t>
      </w:r>
      <w:r w:rsidRPr="30A512F6" w:rsidR="5094A3AF">
        <w:rPr>
          <w:rFonts w:ascii="Calibri" w:hAnsi="Calibri" w:eastAsia="Calibri" w:cs="Calibri"/>
          <w:b w:val="1"/>
          <w:bCs w:val="1"/>
          <w:i w:val="0"/>
          <w:iCs w:val="0"/>
          <w:caps w:val="0"/>
          <w:smallCaps w:val="0"/>
          <w:strike w:val="0"/>
          <w:dstrike w:val="0"/>
          <w:noProof w:val="0"/>
          <w:color w:val="000000"/>
          <w:sz w:val="22"/>
          <w:szCs w:val="22"/>
          <w:u w:val="none"/>
          <w:lang w:val="en-US"/>
        </w:rPr>
        <w:t>exceptionally strong</w:t>
      </w:r>
      <w:r w:rsidRPr="30A512F6" w:rsidR="5094A3AF">
        <w:rPr>
          <w:rFonts w:ascii="Calibri" w:hAnsi="Calibri" w:eastAsia="Calibri" w:cs="Calibri"/>
          <w:b w:val="0"/>
          <w:bCs w:val="0"/>
          <w:i w:val="0"/>
          <w:iCs w:val="0"/>
          <w:caps w:val="0"/>
          <w:smallCaps w:val="0"/>
          <w:strike w:val="0"/>
          <w:dstrike w:val="0"/>
          <w:noProof w:val="0"/>
          <w:color w:val="000000"/>
          <w:sz w:val="22"/>
          <w:szCs w:val="22"/>
          <w:u w:val="none"/>
          <w:lang w:val="en-US"/>
        </w:rPr>
        <w:t xml:space="preserve"> with revenue more than doubling over two years and operating margins expanding by approximately </w:t>
      </w:r>
      <w:r w:rsidRPr="30A512F6" w:rsidR="5094A3AF">
        <w:rPr>
          <w:rFonts w:ascii="Calibri" w:hAnsi="Calibri" w:eastAsia="Calibri" w:cs="Calibri"/>
          <w:b w:val="1"/>
          <w:bCs w:val="1"/>
          <w:i w:val="0"/>
          <w:iCs w:val="0"/>
          <w:caps w:val="0"/>
          <w:smallCaps w:val="0"/>
          <w:strike w:val="0"/>
          <w:dstrike w:val="0"/>
          <w:noProof w:val="0"/>
          <w:color w:val="000000"/>
          <w:sz w:val="22"/>
          <w:szCs w:val="22"/>
          <w:u w:val="none"/>
          <w:lang w:val="en-US"/>
        </w:rPr>
        <w:t>18 percentage points</w:t>
      </w:r>
      <w:r w:rsidRPr="30A512F6" w:rsidR="5094A3AF">
        <w:rPr>
          <w:rFonts w:ascii="Calibri" w:hAnsi="Calibri" w:eastAsia="Calibri" w:cs="Calibri"/>
          <w:b w:val="0"/>
          <w:bCs w:val="0"/>
          <w:i w:val="0"/>
          <w:iCs w:val="0"/>
          <w:caps w:val="0"/>
          <w:smallCaps w:val="0"/>
          <w:strike w:val="0"/>
          <w:dstrike w:val="0"/>
          <w:noProof w:val="0"/>
          <w:color w:val="000000"/>
          <w:sz w:val="22"/>
          <w:szCs w:val="22"/>
          <w:u w:val="none"/>
          <w:lang w:val="en-US"/>
        </w:rPr>
        <w:t xml:space="preserve">. Management has also strengthened its credibility through </w:t>
      </w:r>
      <w:r w:rsidRPr="30A512F6" w:rsidR="5094A3AF">
        <w:rPr>
          <w:rFonts w:ascii="Calibri" w:hAnsi="Calibri" w:eastAsia="Calibri" w:cs="Calibri"/>
          <w:b w:val="1"/>
          <w:bCs w:val="1"/>
          <w:i w:val="0"/>
          <w:iCs w:val="0"/>
          <w:caps w:val="0"/>
          <w:smallCaps w:val="0"/>
          <w:strike w:val="0"/>
          <w:dstrike w:val="0"/>
          <w:noProof w:val="0"/>
          <w:color w:val="000000"/>
          <w:sz w:val="22"/>
          <w:szCs w:val="22"/>
          <w:u w:val="none"/>
          <w:lang w:val="en-US"/>
        </w:rPr>
        <w:t>two guidance increases in 2026</w:t>
      </w:r>
      <w:r w:rsidRPr="30A512F6" w:rsidR="5094A3AF">
        <w:rPr>
          <w:rFonts w:ascii="Calibri" w:hAnsi="Calibri" w:eastAsia="Calibri" w:cs="Calibri"/>
          <w:b w:val="0"/>
          <w:bCs w:val="0"/>
          <w:i w:val="0"/>
          <w:iCs w:val="0"/>
          <w:caps w:val="0"/>
          <w:smallCaps w:val="0"/>
          <w:strike w:val="0"/>
          <w:dstrike w:val="0"/>
          <w:noProof w:val="0"/>
          <w:color w:val="000000"/>
          <w:sz w:val="22"/>
          <w:szCs w:val="22"/>
          <w:u w:val="none"/>
          <w:lang w:val="en-US"/>
        </w:rPr>
        <w:t xml:space="preserve"> reinforcing the company’s strong execution and operating momentum.</w:t>
      </w:r>
    </w:p>
    <w:p xmlns:wp14="http://schemas.microsoft.com/office/word/2010/wordml" w:rsidP="30A512F6" w14:paraId="54C5B494" wp14:textId="0096720F">
      <w:pPr>
        <w:spacing w:before="240" w:beforeAutospacing="off" w:after="240" w:afterAutospacing="off" w:line="276"/>
        <w:jc w:val="both"/>
      </w:pPr>
      <w:r w:rsidRPr="30A512F6" w:rsidR="5094A3AF">
        <w:rPr>
          <w:rFonts w:ascii="Calibri" w:hAnsi="Calibri" w:eastAsia="Calibri" w:cs="Calibri"/>
          <w:b w:val="0"/>
          <w:bCs w:val="0"/>
          <w:i w:val="0"/>
          <w:iCs w:val="0"/>
          <w:caps w:val="0"/>
          <w:smallCaps w:val="0"/>
          <w:strike w:val="0"/>
          <w:dstrike w:val="0"/>
          <w:color w:val="000000"/>
          <w:sz w:val="22"/>
          <w:szCs w:val="22"/>
          <w:u w:val="none"/>
        </w:rPr>
        <w:t xml:space="preserve">The central question is </w:t>
      </w:r>
      <w:r w:rsidRPr="30A512F6" w:rsidR="5094A3AF">
        <w:rPr>
          <w:rFonts w:ascii="Calibri" w:hAnsi="Calibri" w:eastAsia="Calibri" w:cs="Calibri"/>
          <w:b w:val="1"/>
          <w:bCs w:val="1"/>
          <w:i w:val="0"/>
          <w:iCs w:val="0"/>
          <w:caps w:val="0"/>
          <w:smallCaps w:val="0"/>
          <w:strike w:val="0"/>
          <w:dstrike w:val="0"/>
          <w:color w:val="000000"/>
          <w:sz w:val="22"/>
          <w:szCs w:val="22"/>
          <w:u w:val="none"/>
        </w:rPr>
        <w:t>how much of Lilly’s exceptional fundamentals are already embedded in its valuation</w:t>
      </w:r>
      <w:r w:rsidRPr="30A512F6" w:rsidR="5094A3AF">
        <w:rPr>
          <w:rFonts w:ascii="Calibri" w:hAnsi="Calibri" w:eastAsia="Calibri" w:cs="Calibri"/>
          <w:b w:val="0"/>
          <w:bCs w:val="0"/>
          <w:i w:val="0"/>
          <w:iCs w:val="0"/>
          <w:caps w:val="0"/>
          <w:smallCaps w:val="0"/>
          <w:strike w:val="0"/>
          <w:dstrike w:val="0"/>
          <w:color w:val="000000"/>
          <w:sz w:val="22"/>
          <w:szCs w:val="22"/>
          <w:u w:val="none"/>
        </w:rPr>
        <w:t xml:space="preserve">. Our analysis indicates that the market has largely priced in the company’s strong growth profile: the DCF arrives at a value close to the current share price while the </w:t>
      </w:r>
      <w:r w:rsidRPr="30A512F6" w:rsidR="5094A3AF">
        <w:rPr>
          <w:rFonts w:ascii="Calibri" w:hAnsi="Calibri" w:eastAsia="Calibri" w:cs="Calibri"/>
          <w:b w:val="1"/>
          <w:bCs w:val="1"/>
          <w:i w:val="0"/>
          <w:iCs w:val="0"/>
          <w:caps w:val="0"/>
          <w:smallCaps w:val="0"/>
          <w:strike w:val="0"/>
          <w:dstrike w:val="0"/>
          <w:color w:val="000000"/>
          <w:sz w:val="22"/>
          <w:szCs w:val="22"/>
          <w:u w:val="none"/>
        </w:rPr>
        <w:t>growth-adjusted PEG approach</w:t>
      </w:r>
      <w:r w:rsidRPr="30A512F6" w:rsidR="5094A3AF">
        <w:rPr>
          <w:rFonts w:ascii="Calibri" w:hAnsi="Calibri" w:eastAsia="Calibri" w:cs="Calibri"/>
          <w:b w:val="0"/>
          <w:bCs w:val="0"/>
          <w:i w:val="0"/>
          <w:iCs w:val="0"/>
          <w:caps w:val="0"/>
          <w:smallCaps w:val="0"/>
          <w:strike w:val="0"/>
          <w:dstrike w:val="0"/>
          <w:color w:val="000000"/>
          <w:sz w:val="22"/>
          <w:szCs w:val="22"/>
          <w:u w:val="none"/>
        </w:rPr>
        <w:t xml:space="preserve"> suggests Lilly’s premium multiple is broadly justified by its superior earnings growth rather than being excessive.</w:t>
      </w:r>
    </w:p>
    <w:p xmlns:wp14="http://schemas.microsoft.com/office/word/2010/wordml" w:rsidP="30A512F6" w14:paraId="276A4DFC" wp14:textId="0464A6EC">
      <w:pPr>
        <w:pStyle w:val="Normal"/>
        <w:spacing w:after="160" w:line="276" w:lineRule="auto"/>
        <w:jc w:val="both"/>
        <w:rPr>
          <w:rFonts w:ascii="Calibri" w:hAnsi="Calibri" w:eastAsia="Calibri" w:cs="Calibri"/>
          <w:b w:val="0"/>
          <w:bCs w:val="0"/>
          <w:i w:val="0"/>
          <w:iCs w:val="0"/>
          <w:caps w:val="0"/>
          <w:smallCaps w:val="0"/>
          <w:strike w:val="0"/>
          <w:dstrike w:val="0"/>
          <w:color w:val="000000"/>
          <w:sz w:val="22"/>
          <w:szCs w:val="22"/>
          <w:u w:val="none"/>
          <w:lang w:val="en-GB"/>
        </w:rPr>
      </w:pP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We rate LLY</w:t>
      </w:r>
      <w:r w:rsidRPr="30A512F6" w:rsidR="5094A3AF">
        <w:rPr>
          <w:rFonts w:ascii="Calibri" w:hAnsi="Calibri" w:eastAsia="Calibri" w:cs="Calibri"/>
          <w:b w:val="0"/>
          <w:bCs w:val="0"/>
          <w:i w:val="0"/>
          <w:iCs w:val="0"/>
          <w:caps w:val="0"/>
          <w:smallCaps w:val="0"/>
          <w:strike w:val="0"/>
          <w:dstrike w:val="0"/>
          <w:color w:val="00B050"/>
          <w:sz w:val="22"/>
          <w:szCs w:val="22"/>
          <w:u w:val="none"/>
          <w:lang w:val="en-GB"/>
        </w:rPr>
        <w:t xml:space="preserve"> </w:t>
      </w:r>
      <w:r w:rsidRPr="30A512F6" w:rsidR="5094A3AF">
        <w:rPr>
          <w:rFonts w:ascii="Calibri" w:hAnsi="Calibri" w:eastAsia="Calibri" w:cs="Calibri"/>
          <w:b w:val="1"/>
          <w:bCs w:val="1"/>
          <w:i w:val="0"/>
          <w:iCs w:val="0"/>
          <w:caps w:val="0"/>
          <w:smallCaps w:val="0"/>
          <w:strike w:val="0"/>
          <w:dstrike w:val="0"/>
          <w:color w:val="00B050"/>
          <w:sz w:val="22"/>
          <w:szCs w:val="22"/>
          <w:u w:val="none"/>
          <w:lang w:val="en-GB"/>
        </w:rPr>
        <w:t>HOLD</w:t>
      </w:r>
      <w:r w:rsidRPr="30A512F6" w:rsidR="5094A3AF">
        <w:rPr>
          <w:rFonts w:ascii="Calibri" w:hAnsi="Calibri" w:eastAsia="Calibri" w:cs="Calibri"/>
          <w:b w:val="0"/>
          <w:bCs w:val="0"/>
          <w:i w:val="0"/>
          <w:iCs w:val="0"/>
          <w:caps w:val="0"/>
          <w:smallCaps w:val="0"/>
          <w:strike w:val="0"/>
          <w:dstrike w:val="0"/>
          <w:color w:val="00B050"/>
          <w:sz w:val="22"/>
          <w:szCs w:val="22"/>
          <w:u w:val="none"/>
          <w:lang w:val="en-GB"/>
        </w:rPr>
        <w:t xml:space="preserve"> </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with a </w:t>
      </w:r>
      <w:r w:rsidRPr="30A512F6" w:rsidR="5094A3AF">
        <w:rPr>
          <w:rFonts w:ascii="Calibri" w:hAnsi="Calibri" w:eastAsia="Calibri" w:cs="Calibri"/>
          <w:b w:val="1"/>
          <w:bCs w:val="1"/>
          <w:i w:val="0"/>
          <w:iCs w:val="0"/>
          <w:caps w:val="0"/>
          <w:smallCaps w:val="0"/>
          <w:strike w:val="0"/>
          <w:dstrike w:val="0"/>
          <w:color w:val="000000"/>
          <w:sz w:val="22"/>
          <w:szCs w:val="22"/>
          <w:u w:val="none"/>
          <w:lang w:val="en-GB"/>
        </w:rPr>
        <w:t>blended target price of $1,063.06</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representing</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approximately </w:t>
      </w:r>
      <w:r w:rsidRPr="30A512F6" w:rsidR="5094A3AF">
        <w:rPr>
          <w:rFonts w:ascii="Calibri" w:hAnsi="Calibri" w:eastAsia="Calibri" w:cs="Calibri"/>
          <w:b w:val="1"/>
          <w:bCs w:val="1"/>
          <w:i w:val="0"/>
          <w:iCs w:val="0"/>
          <w:caps w:val="0"/>
          <w:smallCaps w:val="0"/>
          <w:strike w:val="0"/>
          <w:dstrike w:val="0"/>
          <w:color w:val="BF0202"/>
          <w:sz w:val="22"/>
          <w:szCs w:val="22"/>
          <w:u w:val="none"/>
          <w:lang w:val="en-GB"/>
        </w:rPr>
        <w:t>9.9% downside</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from the current $1,180.16 price. Existing shareholders can </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reasonably maintain</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their positions given Lilly’s strong execution and potential catalysts while prospective investors may </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benefit</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from waiting for a more favourable entry point following competitive, </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pricing</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 xml:space="preserve"> or broader market-driven volatility</w:t>
      </w:r>
      <w:r w:rsidRPr="30A512F6" w:rsidR="5094A3AF">
        <w:rPr>
          <w:rFonts w:ascii="Calibri" w:hAnsi="Calibri" w:eastAsia="Calibri" w:cs="Calibri"/>
          <w:b w:val="0"/>
          <w:bCs w:val="0"/>
          <w:i w:val="0"/>
          <w:iCs w:val="0"/>
          <w:caps w:val="0"/>
          <w:smallCaps w:val="0"/>
          <w:strike w:val="0"/>
          <w:dstrike w:val="0"/>
          <w:color w:val="000000"/>
          <w:sz w:val="22"/>
          <w:szCs w:val="22"/>
          <w:u w:val="none"/>
          <w:lang w:val="en-GB"/>
        </w:rPr>
        <w:t>.</w:t>
      </w:r>
    </w:p>
    <w:sectPr>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C6E71"/>
        <w:sz w:val="16"/>
        <w:szCs w:val="16"/>
      </w:rPr>
      <w:t xml:space="preserve">Page </w:t>
    </w:r>
    <w:r>
      <w:rPr>
        <w:rFonts w:ascii="Calibri" w:hAnsi="Calibri" w:eastAsia="Calibri" w:cs="Calibri"/>
        <w:color w:val="5C6E71"/>
        <w:sz w:val="16"/>
        <w:szCs w:val="16"/>
      </w:rPr>
      <w:fldChar w:fldCharType="begin"/>
    </w:r>
    <w:r>
      <w:rPr>
        <w:rFonts w:ascii="Calibri" w:hAnsi="Calibri" w:eastAsia="Calibri" w:cs="Calibri"/>
        <w:color w:val="5C6E71"/>
        <w:sz w:val="16"/>
        <w:szCs w:val="16"/>
      </w:rPr>
      <w:instrText xml:space="preserve">PAGE</w:instrText>
    </w:r>
    <w:r>
      <w:rPr>
        <w:rFonts w:ascii="Calibri" w:hAnsi="Calibri" w:eastAsia="Calibri" w:cs="Calibri"/>
        <w:color w:val="5C6E71"/>
        <w:sz w:val="16"/>
        <w:szCs w:val="16"/>
      </w:rPr>
      <w:fldChar w:fldCharType="separate"/>
    </w:r>
    <w:r>
      <w:rPr>
        <w:rFonts w:ascii="Calibri" w:hAnsi="Calibri" w:eastAsia="Calibri" w:cs="Calibri"/>
        <w:color w:val="5C6E71"/>
        <w:sz w:val="16"/>
        <w:szCs w:val="16"/>
      </w:rPr>
      <w:fldChar w:fldCharType="end"/>
    </w:r>
    <w:r>
      <w:rPr>
        <w:rFonts w:ascii="Calibri" w:hAnsi="Calibri" w:eastAsia="Calibri" w:cs="Calibri"/>
        <w:color w:val="5C6E71"/>
        <w:sz w:val="16"/>
        <w:szCs w:val="16"/>
      </w:rPr>
      <w:t xml:space="preserve"> of </w:t>
    </w:r>
    <w:r>
      <w:rPr>
        <w:rFonts w:ascii="Calibri" w:hAnsi="Calibri" w:eastAsia="Calibri" w:cs="Calibri"/>
        <w:color w:val="5C6E71"/>
        <w:sz w:val="16"/>
        <w:szCs w:val="16"/>
      </w:rPr>
      <w:fldChar w:fldCharType="begin"/>
    </w:r>
    <w:r>
      <w:rPr>
        <w:rFonts w:ascii="Calibri" w:hAnsi="Calibri" w:eastAsia="Calibri" w:cs="Calibri"/>
        <w:color w:val="5C6E71"/>
        <w:sz w:val="16"/>
        <w:szCs w:val="16"/>
      </w:rPr>
      <w:instrText xml:space="preserve">NUMPAGES</w:instrText>
    </w:r>
    <w:r>
      <w:rPr>
        <w:rFonts w:ascii="Calibri" w:hAnsi="Calibri" w:eastAsia="Calibri" w:cs="Calibri"/>
        <w:color w:val="5C6E71"/>
        <w:sz w:val="16"/>
        <w:szCs w:val="16"/>
      </w:rPr>
      <w:fldChar w:fldCharType="separate"/>
    </w:r>
    <w:r>
      <w:rPr>
        <w:rFonts w:ascii="Calibri" w:hAnsi="Calibri" w:eastAsia="Calibri" w:cs="Calibri"/>
        <w:color w:val="5C6E71"/>
        <w:sz w:val="16"/>
        <w:szCs w:val="16"/>
      </w:rPr>
      <w:fldChar w:fldCharType="end"/>
    </w:r>
  </w:p>
</w:ftr>
</file>

<file path=word/intelligence2.xml><?xml version="1.0" encoding="utf-8"?>
<int2:intelligence xmlns:int2="http://schemas.microsoft.com/office/intelligence/2020/intelligence">
  <int2:observations>
    <int2:textHash int2:hashCode="+tMtqdxqZu/uDo" int2:id="HCx87Sot">
      <int2:state int2:type="spell" int2:value="Rejected"/>
    </int2:textHash>
    <int2:textHash int2:hashCode="leIbkcXfi8iaNT" int2:id="1tBpN8dH">
      <int2:state int2:type="spell" int2:value="Rejected"/>
    </int2:textHash>
    <int2:textHash int2:hashCode="o9T1N4I6acALaV" int2:id="Dp6oiHsw">
      <int2:state int2:type="spell" int2:value="Rejected"/>
    </int2:textHash>
    <int2:textHash int2:hashCode="I21nkHJ1Qt/e80" int2:id="YyXWLBxs">
      <int2:state int2:type="spell" int2:value="Rejected"/>
    </int2:textHash>
    <int2:textHash int2:hashCode="YPsootLt5Ti13Z" int2:id="hvlJBVEM">
      <int2:state int2:type="spell" int2:value="Rejected"/>
    </int2:textHash>
    <int2:textHash int2:hashCode="xVIN9cwzWqiFHW" int2:id="Z8OlegSW">
      <int2:state int2:type="spell" int2:value="Rejected"/>
    </int2:textHash>
    <int2:textHash int2:hashCode="yBrY8pGA/tsmm2" int2:id="TCJ8p8kJ">
      <int2:state int2:type="spell" int2:value="Rejected"/>
    </int2:textHash>
    <int2:textHash int2:hashCode="NlFTh8D1ECv1r7" int2:id="rEmsAEom">
      <int2:state int2:type="spell" int2:value="Rejected"/>
    </int2:textHash>
    <int2:textHash int2:hashCode="5AFcsijzjN2ya2" int2:id="HhGcePZI">
      <int2:state int2:type="spell" int2:value="Rejected"/>
    </int2:textHash>
    <int2:textHash int2:hashCode="GYG26PsMYwWnmy" int2:id="WdPgrEgq">
      <int2:state int2:type="spell" int2:value="Rejected"/>
    </int2:textHash>
    <int2:textHash int2:hashCode="FoFyHron8+hUmy" int2:id="XF3CK97r">
      <int2:state int2:type="spell" int2:value="Rejected"/>
    </int2:textHash>
    <int2:textHash int2:hashCode="bCVj08wVTJcft2" int2:id="XCUszdcy">
      <int2:state int2:type="spell" int2:value="Rejected"/>
    </int2:textHash>
    <int2:textHash int2:hashCode="g4M/QBAvNVC1ZH" int2:id="k0BM87NO">
      <int2:state int2:type="spell" int2:value="Rejected"/>
    </int2:textHash>
    <int2:bookmark int2:bookmarkName="_Int_WK7MYi8k" int2:invalidationBookmarkName="" int2:hashCode="GHjWdlFVtM9Qwh" int2:id="GIrh54hq">
      <int2:state int2:type="gram" int2:value="Rejected"/>
    </int2:bookmark>
    <int2:bookmark int2:bookmarkName="_Int_d7puNjlm" int2:invalidationBookmarkName="" int2:hashCode="NKeWIhKr4WnJgu" int2:id="eGyG1gVb">
      <int2:state int2:type="gram" int2:value="Rejected"/>
    </int2:bookmark>
    <int2:bookmark int2:bookmarkName="_Int_3V9yGac7" int2:invalidationBookmarkName="" int2:hashCode="9fe7xQq0ghxujA" int2:id="c9ufsb6Y">
      <int2:state int2:type="gram" int2:value="Rejected"/>
    </int2:bookmark>
    <int2:bookmark int2:bookmarkName="_Int_uGp7Zzni" int2:invalidationBookmarkName="" int2:hashCode="U2BEekLyhB97Vz" int2:id="rVyqZbQi">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22eaa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74a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705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8ec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362c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a6babf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8c6bcb"/>
    <w:multiLevelType w:val="hybridMultilevel"/>
    <w:lvl w:ilvl="0" w15:tentative="1">
      <w:start w:val="1"/>
      <w:numFmt w:val="bullet"/>
      <w:lvlText w:val="•"/>
      <w:lvlJc w:val="left"/>
      <w:pPr>
        <w:ind w:left="360" w:hanging="260"/>
      </w:pPr>
    </w:lvl>
  </w:abstractNum>
  <w:num w:numId="7">
    <w:abstractNumId w:val="7"/>
  </w:num>
  <w:num w:numId="6">
    <w:abstractNumId w:val="6"/>
  </w:num>
  <w:num w:numId="5">
    <w:abstractNumId w:val="5"/>
  </w: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2D55109"/>
    <w:rsid w:val="0207CE8C"/>
    <w:rsid w:val="0289D7BA"/>
    <w:rsid w:val="0289D7BA"/>
    <w:rsid w:val="029021F8"/>
    <w:rsid w:val="04958D19"/>
    <w:rsid w:val="05B5A1D7"/>
    <w:rsid w:val="05B5A1D7"/>
    <w:rsid w:val="06147A84"/>
    <w:rsid w:val="0653DB80"/>
    <w:rsid w:val="06DA355E"/>
    <w:rsid w:val="07AB4ABB"/>
    <w:rsid w:val="07CBA1BC"/>
    <w:rsid w:val="07CBA1BC"/>
    <w:rsid w:val="093029D4"/>
    <w:rsid w:val="09B1C77C"/>
    <w:rsid w:val="09FC7C37"/>
    <w:rsid w:val="0A426E7E"/>
    <w:rsid w:val="0A6B95C1"/>
    <w:rsid w:val="0B2507B1"/>
    <w:rsid w:val="0B2507B1"/>
    <w:rsid w:val="0B4A0F7F"/>
    <w:rsid w:val="0BCCCC9F"/>
    <w:rsid w:val="0C4F23AC"/>
    <w:rsid w:val="0C727AEA"/>
    <w:rsid w:val="0E155DC5"/>
    <w:rsid w:val="0E155DC5"/>
    <w:rsid w:val="0E550A73"/>
    <w:rsid w:val="0E550A73"/>
    <w:rsid w:val="0FDD9258"/>
    <w:rsid w:val="10751D1F"/>
    <w:rsid w:val="12D55109"/>
    <w:rsid w:val="1397D836"/>
    <w:rsid w:val="13EB9737"/>
    <w:rsid w:val="14B38733"/>
    <w:rsid w:val="14B64981"/>
    <w:rsid w:val="14B64981"/>
    <w:rsid w:val="14D5050C"/>
    <w:rsid w:val="14EA6543"/>
    <w:rsid w:val="14F2948A"/>
    <w:rsid w:val="151D8AC8"/>
    <w:rsid w:val="15D69E85"/>
    <w:rsid w:val="16B0ADAA"/>
    <w:rsid w:val="16B0ADAA"/>
    <w:rsid w:val="18111F6B"/>
    <w:rsid w:val="19E7971D"/>
    <w:rsid w:val="19F596F2"/>
    <w:rsid w:val="1B0E1AB1"/>
    <w:rsid w:val="1BADAD41"/>
    <w:rsid w:val="1BE2DF42"/>
    <w:rsid w:val="1C772AF8"/>
    <w:rsid w:val="1CB8632D"/>
    <w:rsid w:val="1D3CE5CD"/>
    <w:rsid w:val="1E129B26"/>
    <w:rsid w:val="1E32C96C"/>
    <w:rsid w:val="1FEC0A53"/>
    <w:rsid w:val="20405C61"/>
    <w:rsid w:val="205ED435"/>
    <w:rsid w:val="205ED435"/>
    <w:rsid w:val="217B4EF4"/>
    <w:rsid w:val="217B4EF4"/>
    <w:rsid w:val="23446070"/>
    <w:rsid w:val="25244804"/>
    <w:rsid w:val="259DF947"/>
    <w:rsid w:val="25F8678C"/>
    <w:rsid w:val="26657D8D"/>
    <w:rsid w:val="26CE7B73"/>
    <w:rsid w:val="26E7481D"/>
    <w:rsid w:val="2813678B"/>
    <w:rsid w:val="2813678B"/>
    <w:rsid w:val="28CEAD4C"/>
    <w:rsid w:val="29765D8A"/>
    <w:rsid w:val="2A00DBE4"/>
    <w:rsid w:val="2A00DBE4"/>
    <w:rsid w:val="2A7A6061"/>
    <w:rsid w:val="2A7DE8B1"/>
    <w:rsid w:val="2B592960"/>
    <w:rsid w:val="2C93AE52"/>
    <w:rsid w:val="2EA55CD4"/>
    <w:rsid w:val="2EB616EF"/>
    <w:rsid w:val="2EDF3B9C"/>
    <w:rsid w:val="2F0F78A4"/>
    <w:rsid w:val="2F396DDE"/>
    <w:rsid w:val="2FC7D91D"/>
    <w:rsid w:val="3079584F"/>
    <w:rsid w:val="3079584F"/>
    <w:rsid w:val="30A512F6"/>
    <w:rsid w:val="30EFCE5B"/>
    <w:rsid w:val="31BE196B"/>
    <w:rsid w:val="31E4C87E"/>
    <w:rsid w:val="31EC2CA3"/>
    <w:rsid w:val="321EEA19"/>
    <w:rsid w:val="33170585"/>
    <w:rsid w:val="335AC9ED"/>
    <w:rsid w:val="34F338A3"/>
    <w:rsid w:val="35353D4E"/>
    <w:rsid w:val="35353D4E"/>
    <w:rsid w:val="3554E39F"/>
    <w:rsid w:val="356BAC9F"/>
    <w:rsid w:val="36463EA6"/>
    <w:rsid w:val="382BCB91"/>
    <w:rsid w:val="382BCB91"/>
    <w:rsid w:val="39458237"/>
    <w:rsid w:val="3949F1A6"/>
    <w:rsid w:val="3A44C5C6"/>
    <w:rsid w:val="3AF71E1A"/>
    <w:rsid w:val="3BA62B04"/>
    <w:rsid w:val="3CCDF8A6"/>
    <w:rsid w:val="3DE4798B"/>
    <w:rsid w:val="3F053BB5"/>
    <w:rsid w:val="4010ED68"/>
    <w:rsid w:val="408D9C58"/>
    <w:rsid w:val="425E64B8"/>
    <w:rsid w:val="4471F2E7"/>
    <w:rsid w:val="44BF0D85"/>
    <w:rsid w:val="457216BF"/>
    <w:rsid w:val="45995B97"/>
    <w:rsid w:val="45D98F1E"/>
    <w:rsid w:val="464155C6"/>
    <w:rsid w:val="488B3CED"/>
    <w:rsid w:val="48B91673"/>
    <w:rsid w:val="4A90D22C"/>
    <w:rsid w:val="4ACF328D"/>
    <w:rsid w:val="4C08A907"/>
    <w:rsid w:val="4CC6C9BD"/>
    <w:rsid w:val="4D01CC19"/>
    <w:rsid w:val="4D02E415"/>
    <w:rsid w:val="4D79DB68"/>
    <w:rsid w:val="4DB6191F"/>
    <w:rsid w:val="4DE2C00A"/>
    <w:rsid w:val="4DE2C00A"/>
    <w:rsid w:val="4F76E432"/>
    <w:rsid w:val="4F76E432"/>
    <w:rsid w:val="4F99E8E3"/>
    <w:rsid w:val="5094A3AF"/>
    <w:rsid w:val="51230447"/>
    <w:rsid w:val="516CE9B7"/>
    <w:rsid w:val="51AC774C"/>
    <w:rsid w:val="51CB30C4"/>
    <w:rsid w:val="51EF28B7"/>
    <w:rsid w:val="522390D7"/>
    <w:rsid w:val="522390D7"/>
    <w:rsid w:val="52F5A69F"/>
    <w:rsid w:val="52F72A0D"/>
    <w:rsid w:val="52F72A0D"/>
    <w:rsid w:val="53250A00"/>
    <w:rsid w:val="53250A00"/>
    <w:rsid w:val="546FCBC0"/>
    <w:rsid w:val="55F7802B"/>
    <w:rsid w:val="55F8EC3F"/>
    <w:rsid w:val="55FDBCCF"/>
    <w:rsid w:val="5714E5D0"/>
    <w:rsid w:val="5834A58B"/>
    <w:rsid w:val="5834A58B"/>
    <w:rsid w:val="585092B2"/>
    <w:rsid w:val="5A44622D"/>
    <w:rsid w:val="5AAA5535"/>
    <w:rsid w:val="5C383CAA"/>
    <w:rsid w:val="5E4E95BC"/>
    <w:rsid w:val="5E742195"/>
    <w:rsid w:val="5F62AC38"/>
    <w:rsid w:val="5F62AC38"/>
    <w:rsid w:val="5FCCD8EB"/>
    <w:rsid w:val="5FCCD8EB"/>
    <w:rsid w:val="5FF588A6"/>
    <w:rsid w:val="60BF6CC8"/>
    <w:rsid w:val="60ECF7E3"/>
    <w:rsid w:val="61133AB2"/>
    <w:rsid w:val="61133AB2"/>
    <w:rsid w:val="616F4194"/>
    <w:rsid w:val="616F4194"/>
    <w:rsid w:val="62E0B78C"/>
    <w:rsid w:val="63D2E6CA"/>
    <w:rsid w:val="63DFEAE0"/>
    <w:rsid w:val="63EC6FB4"/>
    <w:rsid w:val="665ABBF8"/>
    <w:rsid w:val="687EC969"/>
    <w:rsid w:val="6A1E1E3A"/>
    <w:rsid w:val="6A30C77D"/>
    <w:rsid w:val="6B100BD8"/>
    <w:rsid w:val="6BC0DD75"/>
    <w:rsid w:val="6C10388F"/>
    <w:rsid w:val="6C24AB58"/>
    <w:rsid w:val="6CEC9E5C"/>
    <w:rsid w:val="6E12EB0D"/>
    <w:rsid w:val="6E678498"/>
    <w:rsid w:val="6F04D85B"/>
    <w:rsid w:val="6FE480A1"/>
    <w:rsid w:val="7012083A"/>
    <w:rsid w:val="7020405F"/>
    <w:rsid w:val="70981238"/>
    <w:rsid w:val="72A2AB09"/>
    <w:rsid w:val="733BD838"/>
    <w:rsid w:val="734982C5"/>
    <w:rsid w:val="7360AF61"/>
    <w:rsid w:val="7374B243"/>
    <w:rsid w:val="73A1BEC4"/>
    <w:rsid w:val="74203697"/>
    <w:rsid w:val="74203697"/>
    <w:rsid w:val="74E7EEA4"/>
    <w:rsid w:val="750D2437"/>
    <w:rsid w:val="769C7125"/>
    <w:rsid w:val="779BB6DF"/>
    <w:rsid w:val="7890C7C0"/>
    <w:rsid w:val="794A7B8C"/>
    <w:rsid w:val="7A4185A6"/>
    <w:rsid w:val="7C8E9E84"/>
    <w:rsid w:val="7CCE9DC3"/>
    <w:rsid w:val="7CCE9DC3"/>
    <w:rsid w:val="7D0BF080"/>
    <w:rsid w:val="7D0BF080"/>
    <w:rsid w:val="7D35EE9B"/>
    <w:rsid w:val="7DCA5806"/>
    <w:rsid w:val="7EA9F8EA"/>
    <w:rsid w:val="7EE1B93F"/>
    <w:rsid w:val="7EE1B93F"/>
    <w:rsid w:val="7FA1EA72"/>
  </w:rsids>
  <w14:docId w14:val="54B22BE7"/>
  <w15:docId w15:val="{1D6C1A28-7625-45E0-959C-5D9F35983E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028090" w:sz="6" w:space="4"/>
      </w:pBdr>
      <w:spacing w:before="320" w:after="160"/>
    </w:pPr>
    <w:rPr>
      <w:rFonts w:ascii="Cambria" w:hAnsi="Cambria" w:eastAsia="Cambria" w:cs="Cambria"/>
      <w:b/>
      <w:bCs/>
      <w:color w:val="0B2E33"/>
      <w:sz w:val="30"/>
      <w:szCs w:val="30"/>
    </w:rPr>
  </w:style>
  <w:style w:type="paragraph" w:styleId="Heading2">
    <w:name w:val="heading 20"/>
    <w:basedOn w:val="Normal"/>
    <w:next w:val="Normal"/>
    <w:qFormat/>
    <w:pPr>
      <w:spacing w:before="240" w:after="120"/>
    </w:pPr>
    <w:rPr>
      <w:rFonts w:ascii="Cambria" w:hAnsi="Cambria" w:eastAsia="Cambria" w:cs="Cambria"/>
      <w:b/>
      <w:bCs/>
      <w:color w:val="02809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8" /><Relationship Type="http://schemas.openxmlformats.org/officeDocument/2006/relationships/image" Target="media/6cc8f111397d2d849cbc7863226467c191518de7.png" Id="rId9" /><Relationship Type="http://schemas.openxmlformats.org/officeDocument/2006/relationships/image" Target="media/bfc0cf7382a38df40d28c41f7b7973386fff6462.png" Id="rId10" /><Relationship Type="http://schemas.openxmlformats.org/officeDocument/2006/relationships/image" Target="media/5cafa9ef4e04c7264ab327ffe0e77bce6e9b2adc.png" Id="rId11" /><Relationship Type="http://schemas.openxmlformats.org/officeDocument/2006/relationships/image" Target="media/fe5ade6ccfd9757244b4f970117468d5295ea162.png" Id="rId12" /><Relationship Type="http://schemas.openxmlformats.org/officeDocument/2006/relationships/fontTable" Target="fontTable.xml" Id="rId13" /><Relationship Type="http://schemas.microsoft.com/office/2020/10/relationships/intelligence" Target="/word/intelligence2.xml" Id="Raa3a0e3b5cc14b3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Shetpalliwar, Rithika Reddy</lastModifiedBy>
  <revision>3</revision>
  <dcterms:created xsi:type="dcterms:W3CDTF">2026-08-19T23:46:04.1480000Z</dcterms:created>
  <dcterms:modified xsi:type="dcterms:W3CDTF">2026-08-20T05:45:43.1029374Z</dcterms:modified>
</coreProperties>
</file>

<file path=docProps/custom.xml><?xml version="1.0" encoding="utf-8"?>
<Properties xmlns="http://schemas.openxmlformats.org/officeDocument/2006/custom-properties" xmlns:vt="http://schemas.openxmlformats.org/officeDocument/2006/docPropsVTypes"/>
</file>