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Ejercicio 2: Reglas de Asociación en Python</w:t>
      </w:r>
    </w:p>
    <w:p>
      <w:r>
        <w:t>Versión complementada con gráficas explicativas para facilitar la comprensión del análisis, la preparación de los datos, el modelado y la interpretación de resultados.</w:t>
      </w:r>
    </w:p>
    <w:p>
      <w:pPr>
        <w:pStyle w:val="Heading1"/>
      </w:pPr>
      <w:r>
        <w:t>1. Propósito de esta versión</w:t>
      </w:r>
    </w:p>
    <w:p>
      <w:r>
        <w:t>Este documento amplía el análisis anterior incorporando apoyo visual. Las gráficas permiten comprender mejor cómo están distribuidos los datos, qué organizaciones tienen mayor presencia, cuáles combinaciones aparecen con mayor soporte y qué reglas de asociación son más relevantes.</w:t>
      </w:r>
    </w:p>
    <w:p>
      <w:pPr>
        <w:pStyle w:val="Heading1"/>
      </w:pPr>
      <w:r>
        <w:t>2. Gráficas de apoyo para comprender los datos</w:t>
      </w:r>
    </w:p>
    <w:p>
      <w:pPr>
        <w:pStyle w:val="Heading2"/>
      </w:pPr>
      <w:r>
        <w:t>2.1 Frecuencia de pertenencia por organización</w:t>
      </w:r>
    </w:p>
    <w:p>
      <w:r>
        <w:t>La siguiente gráfica muestra cuántas personas pertenecen a cada tipo de organización. Sirve para identificar rápidamente cuáles categorías tienen mayor peso en el dataset.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recuencia_organiza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Interpretación: Religious (1458) es la categoría con mayor frecuencia, seguida de Family (1358), Professional (1130) y Hobbies (1045).</w:t>
      </w:r>
    </w:p>
    <w:p>
      <w:pPr>
        <w:pStyle w:val="Heading2"/>
      </w:pPr>
      <w:r>
        <w:t>2.2 Porcentaje de participación por organización</w:t>
      </w:r>
    </w:p>
    <w:p>
      <w:r>
        <w:t>Esta gráfica expresa la misma información anterior, pero en porcentaje. Es útil para interpretar el peso relativo de cada organización dentro de la muestra.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rcentaje_organizac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Interpretación: Religious representa 41.86% de participación, Family 38.99% y Professional 32.44%.</w:t>
      </w:r>
    </w:p>
    <w:p>
      <w:pPr>
        <w:pStyle w:val="Heading2"/>
      </w:pPr>
      <w:r>
        <w:t>2.3 Distribución de la edad</w:t>
      </w:r>
    </w:p>
    <w:p>
      <w:r>
        <w:t>El histograma de edad ayuda a verificar si la muestra está concentrada en cierto rango etario y si existen valores extremos importantes.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st_e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Interpretación: la edad promedio es 36.73 años, con mínimo 17 y máximo 57.</w:t>
      </w:r>
    </w:p>
    <w:p>
      <w:pPr>
        <w:pStyle w:val="Heading2"/>
      </w:pPr>
      <w:r>
        <w:t>2.4 Distribución del tiempo de respuesta</w:t>
      </w:r>
    </w:p>
    <w:p>
      <w:r>
        <w:t>Esta gráfica muestra cuántos minutos tardaron las personas en completar la encuesta.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ist_elapsed_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Interpretación: el tiempo promedio fue de 5.92 minutos, lo cual es razonable para una encuesta comunitaria.</w:t>
      </w:r>
    </w:p>
    <w:p>
      <w:pPr>
        <w:pStyle w:val="Heading2"/>
      </w:pPr>
      <w:r>
        <w:t>2.5 Tiempo en la comunidad</w:t>
      </w:r>
    </w:p>
    <w:p>
      <w:r>
        <w:t>La categoría Time_in_Community ayuda a entender si la muestra está compuesta por personas con poca, mediana o mucha permanencia en la comunidad.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iempo_comun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Interpretación: Long es la categoría más frecuente (1465 registros), seguida de Medium (1304) y Short (714).</w:t>
      </w:r>
    </w:p>
    <w:p>
      <w:pPr>
        <w:pStyle w:val="Heading2"/>
      </w:pPr>
      <w:r>
        <w:t>2.6 Distribución por género</w:t>
      </w:r>
    </w:p>
    <w:p>
      <w:r>
        <w:t>Esta gráfica confirma si el conjunto de datos presenta balance entre hombres y mujeres.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ene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Interpretación: hay 1790 registros femeninos y 1693 masculinos, lo que refleja una muestra equilibrada.</w:t>
      </w:r>
    </w:p>
    <w:p>
      <w:pPr>
        <w:pStyle w:val="Heading2"/>
      </w:pPr>
      <w:r>
        <w:t>2.7 Distribución de trabajo remunerado</w:t>
      </w:r>
    </w:p>
    <w:p>
      <w:r>
        <w:t>Esta gráfica muestra la distribución de personas con y sin trabajo remunerado.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wor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Interpretación: Working=Yes tiene 1744 registros y Working=No tiene 1739.</w:t>
      </w:r>
    </w:p>
    <w:p>
      <w:pPr>
        <w:pStyle w:val="Heading1"/>
      </w:pPr>
      <w:r>
        <w:t>3. Gráficas para apoyar el modelado de asociación</w:t>
      </w:r>
    </w:p>
    <w:p>
      <w:pPr>
        <w:pStyle w:val="Heading2"/>
      </w:pPr>
      <w:r>
        <w:t>3.1 Top 10 combinaciones por soporte</w:t>
      </w:r>
    </w:p>
    <w:p>
      <w:r>
        <w:t>El soporte indica la proporción de registros en la que dos organizaciones aparecen juntas. La siguiente gráfica resume las combinaciones de pares con mayor presencia en los datos.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op_combinaciones_sopor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Interpretación: entre las combinaciones más fuertes destacan Hobbies + Religious (23.89%), Family + Religious (22.45%), Family + Hobbies (18.69%), Social_Club + Religious (14.73%), Family + Professional (13.03%).</w:t>
      </w:r>
    </w:p>
    <w:p>
      <w:pPr>
        <w:pStyle w:val="Heading2"/>
      </w:pPr>
      <w:r>
        <w:t>3.2 Mapa de calor de soporte conjunto</w:t>
      </w:r>
    </w:p>
    <w:p>
      <w:r>
        <w:t>El mapa de calor permite visualizar, de forma global, qué relaciones presentan mayor soporte conjunto. La diagonal representa la frecuencia individual de cada organización y las demás celdas muestran la proporción de coincidencia entre pares.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pa_calor_sopor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Interpretación: las áreas con valores más altos muestran asociaciones potencialmente más útiles para la generación de reglas.</w:t>
      </w:r>
    </w:p>
    <w:p>
      <w:pPr>
        <w:pStyle w:val="Heading2"/>
      </w:pPr>
      <w:r>
        <w:t>3.3 Top 10 reglas por confianza</w:t>
      </w:r>
    </w:p>
    <w:p>
      <w:r>
        <w:t>La confianza mide qué tan probable es que ocurra el consecuente cuando ya ocurrió el antecedente.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op_reglas_confianz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Interpretación: la regla con mayor confianza es "Hobbies, Social_Club → Religious" con confianza de 0.8884.</w:t>
      </w:r>
    </w:p>
    <w:p>
      <w:pPr>
        <w:pStyle w:val="Heading2"/>
      </w:pPr>
      <w:r>
        <w:t>3.4 Top 10 reglas por lift</w:t>
      </w:r>
    </w:p>
    <w:p>
      <w:r>
        <w:t>El lift compara la fuerza real de una regla frente a lo que ocurriría por azar. Valores mayores que 1 indican una asociación positiva.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op_reglas_lif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Interpretación: la regla con mayor lift es "Religious, Social_Club → Hobbies" con lift de 2.4819.</w:t>
      </w:r>
    </w:p>
    <w:p>
      <w:pPr>
        <w:pStyle w:val="Heading1"/>
      </w:pPr>
      <w:r>
        <w:t>4. Conclusión guiada</w:t>
      </w:r>
    </w:p>
    <w:p>
      <w:r>
        <w:t>Con estas gráficas el análisis queda más guiado visualmente. Ahora es más fácil ver qué organizaciones tienen mayor presencia, cuáles se combinan con más frecuencia y qué reglas ofrecen mayor confianza y lift. Esto ayuda a interpretar mejor las decisiones que podría tomar Roger, por ejemplo, buscar colaboración entre organizaciones religiosas, familiares y de hobbies.</w:t>
      </w:r>
    </w:p>
    <w:p>
      <w:pPr>
        <w:pStyle w:val="Heading1"/>
      </w:pPr>
      <w:r>
        <w:t>5. Archivos de apoyo generados</w:t>
      </w:r>
    </w:p>
    <w:p>
      <w:r>
        <w:t>Además del documento Word, se conservaron las gráficas en archivos PNG dentro de la carpeta /mnt/data/ejercicio2_graficas por si deseas reutilizarlas en otra versión del material.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fontTable" Target="fontTable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customXml" Target="../customXml/item2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3588E9C4B3FD43BE0ADF64F61FA82D" ma:contentTypeVersion="11" ma:contentTypeDescription="Crear nuevo documento." ma:contentTypeScope="" ma:versionID="9f4924c462ac9ef8403616563226ef0c">
  <xsd:schema xmlns:xsd="http://www.w3.org/2001/XMLSchema" xmlns:xs="http://www.w3.org/2001/XMLSchema" xmlns:p="http://schemas.microsoft.com/office/2006/metadata/properties" xmlns:ns2="7a086a2d-89c7-438c-b81b-9cf61ca91b02" xmlns:ns3="750c6748-1429-4b26-8ed1-1ac8e7f4cf34" targetNamespace="http://schemas.microsoft.com/office/2006/metadata/properties" ma:root="true" ma:fieldsID="feeefa7d1275eada630bca9d7ea1dbc8" ns2:_="" ns3:_="">
    <xsd:import namespace="7a086a2d-89c7-438c-b81b-9cf61ca91b02"/>
    <xsd:import namespace="750c6748-1429-4b26-8ed1-1ac8e7f4cf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86a2d-89c7-438c-b81b-9cf61ca91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ce4c6db-b7fb-4c07-b355-fdb6f531d9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0c6748-1429-4b26-8ed1-1ac8e7f4cf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e552abf-c277-430d-8616-3de6be15d880}" ma:internalName="TaxCatchAll" ma:showField="CatchAllData" ma:web="750c6748-1429-4b26-8ed1-1ac8e7f4cf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0c6748-1429-4b26-8ed1-1ac8e7f4cf34" xsi:nil="true"/>
    <lcf76f155ced4ddcb4097134ff3c332f xmlns="7a086a2d-89c7-438c-b81b-9cf61ca91b0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9CDC0C-69F3-46A5-9A3E-E32CEBF144B4}"/>
</file>

<file path=customXml/itemProps3.xml><?xml version="1.0" encoding="utf-8"?>
<ds:datastoreItem xmlns:ds="http://schemas.openxmlformats.org/officeDocument/2006/customXml" ds:itemID="{E331AFC6-EA2C-4A18-9205-4D1264EC775B}"/>
</file>

<file path=customXml/itemProps4.xml><?xml version="1.0" encoding="utf-8"?>
<ds:datastoreItem xmlns:ds="http://schemas.openxmlformats.org/officeDocument/2006/customXml" ds:itemID="{1A67697F-C92C-4575-9201-28635A2C66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0x010100B43588E9C4B3FD43BE0ADF64F61FA82D</vt:lpwstr>
  </property>
</Properties>
</file>