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2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07102026-2-ABS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al Alcalde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(Carta N.° 07102026-1-ABS BIENES &amp; SERVICIOS E.I.R.L.),</w:t>
      </w:r>
      <w:r>
        <w:t xml:space="preserve"> </w:t>
      </w:r>
      <w:r>
        <w:rPr>
          <w:bCs/>
          <w:b/>
        </w:rPr>
        <w:t xml:space="preserve">con copia a su despacho</w:t>
      </w:r>
      <w:r>
        <w:t xml:space="preserve">, por lo que no la adjuntamos nuevamente.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3619-2022.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Consulta del Expediente SIAF N.° 3619-2022 (giro de S/ 3,482.27 y rebaja de S/ 1,741.12).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003413-2026-PERÚ COMPRAS-DCEME, del 21 de julio de 2026.</w:t>
      </w:r>
    </w:p>
    <w:p>
      <w:pPr>
        <w:pStyle w:val="FirstParagraph"/>
      </w:pPr>
      <w:r>
        <w:rPr>
          <w:iCs/>
          <w:i/>
        </w:rPr>
        <w:t xml:space="preserve">Los demás antecedentes (orden de compra, guía de remisión, factura y oficios de PERÚ COMPRAS de 2024) obran en la carta dirigida al Alcalde, remitida en copia a su despacho.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anexos_huacho/p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Consulta del Expediente SIAF N.° 3619-2022: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anexos_huacho/ag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anexos_huacho/a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(cont.) – PERÚ COMPRAS corrobora el incumplimiento de la Municipalidad y lo traslada al OCI.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2026-10-07T23:22:16Z</dcterms:created>
  <dcterms:modified xsi:type="dcterms:W3CDTF">2026-10-07T23:22:16Z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