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31AF" w14:textId="77777777" w:rsidR="007C6A54" w:rsidRDefault="00000000">
      <w:pPr>
        <w:pStyle w:val="FirstParagraph"/>
      </w:pPr>
      <w:r>
        <w:t>Lima, 16 de octubre de 2026</w:t>
      </w:r>
    </w:p>
    <w:p w14:paraId="1257DF38" w14:textId="77777777" w:rsidR="007C6A54" w:rsidRDefault="00000000">
      <w:pPr>
        <w:pStyle w:val="Textoindependiente"/>
      </w:pPr>
      <w:r>
        <w:rPr>
          <w:b/>
          <w:bCs/>
        </w:rPr>
        <w:t>CARTA N.° 16102026-1-SERVICIOS BARTEK E.I.R.L.</w:t>
      </w:r>
    </w:p>
    <w:p w14:paraId="501B1640" w14:textId="77777777" w:rsidR="007C6A54" w:rsidRDefault="00000000">
      <w:pPr>
        <w:pStyle w:val="Textoindependiente"/>
      </w:pPr>
      <w:r>
        <w:t>Señor</w:t>
      </w:r>
      <w:r>
        <w:br/>
      </w:r>
      <w:r>
        <w:rPr>
          <w:b/>
          <w:bCs/>
        </w:rPr>
        <w:t>NEAL MARTÍN MAURA GONZALES</w:t>
      </w:r>
      <w:r>
        <w:br/>
        <w:t>Director de la Dirección de Compras Electrónicas y Modalidades Eficientes – DCEME</w:t>
      </w:r>
      <w:r>
        <w:br/>
        <w:t xml:space="preserve">Central de Compras Públicas – </w:t>
      </w:r>
      <w:r>
        <w:rPr>
          <w:b/>
          <w:bCs/>
        </w:rPr>
        <w:t>PERÚ COMPRAS</w:t>
      </w:r>
      <w:r>
        <w:br/>
        <w:t>Av. República de Panamá N.° 3629, San Isidro, Lima</w:t>
      </w:r>
      <w:r>
        <w:br/>
        <w:t>Presente.–</w:t>
      </w:r>
    </w:p>
    <w:p w14:paraId="3A3163DA" w14:textId="77777777" w:rsidR="007C6A54" w:rsidRDefault="00000000">
      <w:pPr>
        <w:pStyle w:val="Textoindependiente"/>
        <w:jc w:val="both"/>
      </w:pPr>
      <w:r>
        <w:rPr>
          <w:b/>
          <w:bCs/>
        </w:rPr>
        <w:t>ASUNTO:</w:t>
      </w:r>
      <w:r>
        <w:t xml:space="preserve"> SE REITERA PEDIDO DE HABILITACIÓN INMEDIATA de las 22 Fichas-Producto de la marca </w:t>
      </w:r>
      <w:r>
        <w:rPr>
          <w:b/>
          <w:bCs/>
        </w:rPr>
        <w:t>MOBIS</w:t>
      </w:r>
      <w:r>
        <w:t xml:space="preserve"> en estado OFERTADO y se solicita la formalización del Acuerdo de Adhesión de SERVICIOS BARTEK E.I.R.L.</w:t>
      </w:r>
    </w:p>
    <w:p w14:paraId="13D06A6E" w14:textId="77777777" w:rsidR="007C6A54" w:rsidRDefault="00000000">
      <w:pPr>
        <w:pStyle w:val="Textoindependiente"/>
      </w:pPr>
      <w:r>
        <w:rPr>
          <w:b/>
          <w:bCs/>
        </w:rPr>
        <w:t>REFERENCIAS:</w:t>
      </w:r>
    </w:p>
    <w:p w14:paraId="3D8FB555" w14:textId="77777777" w:rsidR="007C6A54" w:rsidRDefault="00000000">
      <w:pPr>
        <w:pStyle w:val="Compact"/>
        <w:numPr>
          <w:ilvl w:val="0"/>
          <w:numId w:val="2"/>
        </w:numPr>
        <w:jc w:val="both"/>
      </w:pPr>
      <w:r>
        <w:t xml:space="preserve">Nuestra carta del 07 de octubre de 2026 y reclamo en el Libro de Reclamaciones, código </w:t>
      </w:r>
      <w:r>
        <w:rPr>
          <w:b/>
          <w:bCs/>
        </w:rPr>
        <w:t>pp4c2lqjm</w:t>
      </w:r>
      <w:r>
        <w:t>.</w:t>
      </w:r>
    </w:p>
    <w:p w14:paraId="4D2C60A2" w14:textId="77777777" w:rsidR="007C6A54" w:rsidRDefault="00000000">
      <w:pPr>
        <w:pStyle w:val="Compact"/>
        <w:numPr>
          <w:ilvl w:val="0"/>
          <w:numId w:val="2"/>
        </w:numPr>
      </w:pPr>
      <w:r>
        <w:t>Correo de su Dirección (acreditacionrm@perucompras.gob.pe) del 16/10/2026, que atiende nuestro reclamo.</w:t>
      </w:r>
    </w:p>
    <w:p w14:paraId="3A841020" w14:textId="77777777" w:rsidR="007C6A54" w:rsidRDefault="00000000">
      <w:pPr>
        <w:pStyle w:val="Compact"/>
        <w:numPr>
          <w:ilvl w:val="0"/>
          <w:numId w:val="2"/>
        </w:numPr>
      </w:pPr>
      <w:r>
        <w:t>Formato N.° 397-2025-ARM, del 10 de junio de 2025.</w:t>
      </w:r>
    </w:p>
    <w:p w14:paraId="776B7D54" w14:textId="77777777" w:rsidR="007C6A54" w:rsidRDefault="00000000">
      <w:pPr>
        <w:pStyle w:val="Compact"/>
        <w:numPr>
          <w:ilvl w:val="0"/>
          <w:numId w:val="2"/>
        </w:numPr>
      </w:pPr>
      <w:r>
        <w:t>Resolución Jefatural N.° 000087-2026-PERÚ COMPRAS-JEFATURA, del 22 de julio de 2026.</w:t>
      </w:r>
    </w:p>
    <w:p w14:paraId="71B3FA52" w14:textId="77777777" w:rsidR="007C6A54" w:rsidRDefault="00000000">
      <w:r>
        <w:pict w14:anchorId="0401D77A">
          <v:rect id="_x0000_i1025" style="width:0;height:1.5pt" o:hralign="center" o:hrstd="t" o:hr="t"/>
        </w:pict>
      </w:r>
    </w:p>
    <w:p w14:paraId="209710E7" w14:textId="77777777" w:rsidR="007C6A54" w:rsidRDefault="00000000">
      <w:pPr>
        <w:pStyle w:val="FirstParagraph"/>
      </w:pPr>
      <w:r>
        <w:t>De nuestra consideración:</w:t>
      </w:r>
    </w:p>
    <w:p w14:paraId="5E704429" w14:textId="77777777" w:rsidR="007C6A54" w:rsidRDefault="00000000">
      <w:pPr>
        <w:pStyle w:val="Textoindependiente"/>
        <w:jc w:val="both"/>
      </w:pPr>
      <w:r>
        <w:rPr>
          <w:b/>
          <w:bCs/>
        </w:rPr>
        <w:t>SERVICIOS BARTEK E.I.R.L.</w:t>
      </w:r>
      <w:r>
        <w:t xml:space="preserve">, con RUC N.° </w:t>
      </w:r>
      <w:r>
        <w:rPr>
          <w:b/>
          <w:bCs/>
        </w:rPr>
        <w:t>20610900551</w:t>
      </w:r>
      <w:r>
        <w:t xml:space="preserve">, representada por su Gerente, </w:t>
      </w:r>
      <w:r>
        <w:rPr>
          <w:b/>
          <w:bCs/>
        </w:rPr>
        <w:t>FAVIOLA ORIHUELA PIMENTEL</w:t>
      </w:r>
      <w:r>
        <w:t xml:space="preserve">, identificada con DNI N.° </w:t>
      </w:r>
      <w:r>
        <w:rPr>
          <w:b/>
          <w:bCs/>
        </w:rPr>
        <w:t>10790531</w:t>
      </w:r>
      <w:r>
        <w:t xml:space="preserve">, se dirige a su Dirección en relación con su respuesta de la referencia b), que </w:t>
      </w:r>
      <w:r>
        <w:rPr>
          <w:b/>
          <w:bCs/>
        </w:rPr>
        <w:t>no resuelve el problema</w:t>
      </w:r>
      <w:r>
        <w:t xml:space="preserve"> que planteamos.</w:t>
      </w:r>
    </w:p>
    <w:p w14:paraId="13F3B55C" w14:textId="77777777" w:rsidR="007C6A54" w:rsidRDefault="00000000">
      <w:pPr>
        <w:pStyle w:val="Ttulo2"/>
      </w:pPr>
      <w:bookmarkStart w:id="0" w:name="lo-que-su-dirección-reconoce"/>
      <w:r>
        <w:t>1. LO QUE SU DIRECCIÓN RECONOCE</w:t>
      </w:r>
    </w:p>
    <w:p w14:paraId="07814372" w14:textId="77777777" w:rsidR="007C6A54" w:rsidRDefault="00000000">
      <w:pPr>
        <w:pStyle w:val="FirstParagraph"/>
      </w:pPr>
      <w:r>
        <w:t>En su respuesta, su Dirección confirma que:</w:t>
      </w:r>
    </w:p>
    <w:p w14:paraId="050528A9" w14:textId="77777777" w:rsidR="007C6A54" w:rsidRDefault="00000000">
      <w:pPr>
        <w:pStyle w:val="Compact"/>
        <w:numPr>
          <w:ilvl w:val="0"/>
          <w:numId w:val="3"/>
        </w:numPr>
        <w:jc w:val="both"/>
      </w:pPr>
      <w:r>
        <w:t xml:space="preserve">Nuestra empresa está </w:t>
      </w:r>
      <w:r>
        <w:rPr>
          <w:b/>
          <w:bCs/>
        </w:rPr>
        <w:t>acreditada</w:t>
      </w:r>
      <w:r>
        <w:t xml:space="preserve"> como representante de la marca MOBIS desde el </w:t>
      </w:r>
      <w:r>
        <w:rPr>
          <w:b/>
          <w:bCs/>
        </w:rPr>
        <w:t>10 de junio de 2025</w:t>
      </w:r>
      <w:r>
        <w:t xml:space="preserve"> (Formato N.° 397-2025-ARM).</w:t>
      </w:r>
    </w:p>
    <w:p w14:paraId="31F5905F" w14:textId="77777777" w:rsidR="007C6A54" w:rsidRDefault="00000000">
      <w:pPr>
        <w:pStyle w:val="Compact"/>
        <w:numPr>
          <w:ilvl w:val="0"/>
          <w:numId w:val="3"/>
        </w:numPr>
        <w:jc w:val="both"/>
      </w:pPr>
      <w:r>
        <w:t xml:space="preserve">Tenemos </w:t>
      </w:r>
      <w:r>
        <w:rPr>
          <w:b/>
          <w:bCs/>
        </w:rPr>
        <w:t>22 Fichas-Producto en estado OFERTADO</w:t>
      </w:r>
      <w:r>
        <w:t xml:space="preserve">, </w:t>
      </w:r>
      <w:r>
        <w:rPr>
          <w:b/>
          <w:bCs/>
        </w:rPr>
        <w:t>incorporadas con anterioridad</w:t>
      </w:r>
      <w:r>
        <w:t xml:space="preserve"> en el Catálogo Electrónico de Mobiliario en General.</w:t>
      </w:r>
    </w:p>
    <w:p w14:paraId="34B05019" w14:textId="77777777" w:rsidR="007C6A54" w:rsidRDefault="00000000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Cumplimos con presentar el Acuerdo de Adhesión</w:t>
      </w:r>
      <w:r>
        <w:t xml:space="preserve"> y sus anexos, y su formalización </w:t>
      </w:r>
      <w:r>
        <w:rPr>
          <w:b/>
          <w:bCs/>
        </w:rPr>
        <w:t>está pendiente de PERÚ COMPRAS</w:t>
      </w:r>
      <w:r>
        <w:t>.</w:t>
      </w:r>
    </w:p>
    <w:p w14:paraId="6AFDA2C6" w14:textId="77777777" w:rsidR="007C6A5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Por esa razón</w:t>
      </w:r>
      <w:r>
        <w:t>, los proveedores no pueden ofertar nuestras fichas.</w:t>
      </w:r>
    </w:p>
    <w:p w14:paraId="1F5A8203" w14:textId="77777777" w:rsidR="007C6A54" w:rsidRDefault="00000000">
      <w:pPr>
        <w:pStyle w:val="Ttulo2"/>
      </w:pPr>
      <w:bookmarkStart w:id="1" w:name="por-qué-esa-explicación-no-es-suficiente"/>
      <w:bookmarkEnd w:id="0"/>
      <w:r>
        <w:t>2. POR QUÉ ESA EXPLICACIÓN NO ES SUFICIENTE</w:t>
      </w:r>
    </w:p>
    <w:p w14:paraId="6E3A7F22" w14:textId="77777777" w:rsidR="007C6A54" w:rsidRDefault="00000000">
      <w:pPr>
        <w:pStyle w:val="FirstParagraph"/>
        <w:jc w:val="both"/>
      </w:pPr>
      <w:r>
        <w:rPr>
          <w:b/>
          <w:bCs/>
        </w:rPr>
        <w:t>2.1. Nuestras fichas existían antes del Acuerdo de Adhesión.</w:t>
      </w:r>
      <w:r>
        <w:t xml:space="preserve"> El formato de Acuerdo de Adhesión se aprobó con la </w:t>
      </w:r>
      <w:r>
        <w:rPr>
          <w:b/>
          <w:bCs/>
        </w:rPr>
        <w:t xml:space="preserve">Resolución Jefatural N.° 000087-2026-PERÚ </w:t>
      </w:r>
      <w:r>
        <w:rPr>
          <w:b/>
          <w:bCs/>
        </w:rPr>
        <w:lastRenderedPageBreak/>
        <w:t>COMPRAS-JEFATURA</w:t>
      </w:r>
      <w:r>
        <w:t xml:space="preserve">, del </w:t>
      </w:r>
      <w:r>
        <w:rPr>
          <w:b/>
          <w:bCs/>
        </w:rPr>
        <w:t>22 de julio de 2026</w:t>
      </w:r>
      <w:r>
        <w:t xml:space="preserve">, y se comunicó con el </w:t>
      </w:r>
      <w:r>
        <w:rPr>
          <w:b/>
          <w:bCs/>
        </w:rPr>
        <w:t>Comunicado N.° 040-2026-PERÚ COMPRAS</w:t>
      </w:r>
      <w:r>
        <w:t xml:space="preserve">, del </w:t>
      </w:r>
      <w:r>
        <w:rPr>
          <w:b/>
          <w:bCs/>
        </w:rPr>
        <w:t>24 de julio de 2026</w:t>
      </w:r>
      <w:r>
        <w:t xml:space="preserve">. Nuestras 22 fichas ya estaban en estado OFERTADO </w:t>
      </w:r>
      <w:r>
        <w:rPr>
          <w:b/>
          <w:bCs/>
        </w:rPr>
        <w:t>mucho antes de esa fecha</w:t>
      </w:r>
      <w:r>
        <w:t xml:space="preserve">. Si antes de julio de 2026 los proveedores tampoco podían verlas ni ofertarlas, </w:t>
      </w:r>
      <w:r>
        <w:rPr>
          <w:b/>
          <w:bCs/>
        </w:rPr>
        <w:t>un requisito creado después no puede ser la causa</w:t>
      </w:r>
      <w:r>
        <w:t xml:space="preserve">. Si, por el contrario, sí eran visibles, corresponde que su Dirección </w:t>
      </w:r>
      <w:r>
        <w:rPr>
          <w:b/>
          <w:bCs/>
        </w:rPr>
        <w:t>lo acredite con los registros de la plataforma</w:t>
      </w:r>
      <w:r>
        <w:t>.</w:t>
      </w:r>
    </w:p>
    <w:p w14:paraId="552C3795" w14:textId="77777777" w:rsidR="007C6A54" w:rsidRDefault="00000000">
      <w:pPr>
        <w:pStyle w:val="Textoindependiente"/>
        <w:jc w:val="both"/>
      </w:pPr>
      <w:r>
        <w:rPr>
          <w:b/>
          <w:bCs/>
        </w:rPr>
        <w:t>2.2. La norma no ordena bloquear fichas ya ofertadas.</w:t>
      </w:r>
      <w:r>
        <w:t xml:space="preserve"> La Resolución Jefatural N.° 000087-2026 solo </w:t>
      </w:r>
      <w:r>
        <w:rPr>
          <w:b/>
          <w:bCs/>
        </w:rPr>
        <w:t>aprueba el formato</w:t>
      </w:r>
      <w:r>
        <w:t xml:space="preserve"> del Acuerdo de Adhesión (artículo primero) y autoriza a su Dirección a </w:t>
      </w:r>
      <w:r>
        <w:rPr>
          <w:b/>
          <w:bCs/>
        </w:rPr>
        <w:t>difundir los plazos para suscribirlo</w:t>
      </w:r>
      <w:r>
        <w:t xml:space="preserve"> (artículo segundo). </w:t>
      </w:r>
      <w:r>
        <w:rPr>
          <w:b/>
          <w:bCs/>
        </w:rPr>
        <w:t>No dispone</w:t>
      </w:r>
      <w:r>
        <w:t xml:space="preserve"> que las fichas ya incorporadas y ofertadas dejen de estar disponibles mientras el acuerdo se formaliza. Por su parte, el </w:t>
      </w:r>
      <w:r>
        <w:rPr>
          <w:b/>
          <w:bCs/>
        </w:rPr>
        <w:t>artículo 276.1 del Reglamento de la Ley N.° 32069</w:t>
      </w:r>
      <w:r>
        <w:t xml:space="preserve"> exige al representante de marca mantener las condiciones que motivaron su acreditación, y nuestra empresa </w:t>
      </w:r>
      <w:r>
        <w:rPr>
          <w:b/>
          <w:bCs/>
        </w:rPr>
        <w:t>las mantiene</w:t>
      </w:r>
      <w:r>
        <w:t>.</w:t>
      </w:r>
    </w:p>
    <w:p w14:paraId="1C5D2F44" w14:textId="77777777" w:rsidR="007C6A54" w:rsidRDefault="00000000">
      <w:pPr>
        <w:pStyle w:val="Textoindependiente"/>
        <w:jc w:val="both"/>
      </w:pPr>
      <w:r>
        <w:rPr>
          <w:b/>
          <w:bCs/>
        </w:rPr>
        <w:t>2.3. El Comunicado N.° 080-2025 no aplica a nuestras fichas.</w:t>
      </w:r>
      <w:r>
        <w:t xml:space="preserve"> Según su propia respuesta, esa suspensión comprendió las fichas </w:t>
      </w:r>
      <w:r>
        <w:rPr>
          <w:b/>
          <w:bCs/>
        </w:rPr>
        <w:t>“incorporadas, no ofertadas y no adjudicadas”</w:t>
      </w:r>
      <w:r>
        <w:t xml:space="preserve">. Nuestras fichas están en estado </w:t>
      </w:r>
      <w:r>
        <w:rPr>
          <w:b/>
          <w:bCs/>
        </w:rPr>
        <w:t>OFERTADO</w:t>
      </w:r>
      <w:r>
        <w:t xml:space="preserve">, por lo que </w:t>
      </w:r>
      <w:r>
        <w:rPr>
          <w:b/>
          <w:bCs/>
        </w:rPr>
        <w:t>no estaban comprendidas</w:t>
      </w:r>
      <w:r>
        <w:t xml:space="preserve"> en esa medida.</w:t>
      </w:r>
    </w:p>
    <w:p w14:paraId="3DEAF8E7" w14:textId="77777777" w:rsidR="007C6A54" w:rsidRDefault="00000000">
      <w:pPr>
        <w:pStyle w:val="Textoindependiente"/>
        <w:jc w:val="both"/>
      </w:pPr>
      <w:r>
        <w:rPr>
          <w:b/>
          <w:bCs/>
        </w:rPr>
        <w:t>2.4. El Comunicado N.° 022-2026 tampoco aplica.</w:t>
      </w:r>
      <w:r>
        <w:t xml:space="preserve"> Ese cronograma era para registrar </w:t>
      </w:r>
      <w:r>
        <w:rPr>
          <w:b/>
          <w:bCs/>
        </w:rPr>
        <w:t>nuevas</w:t>
      </w:r>
      <w:r>
        <w:t xml:space="preserve"> fichas. Nuestro reclamo </w:t>
      </w:r>
      <w:r>
        <w:rPr>
          <w:b/>
          <w:bCs/>
        </w:rPr>
        <w:t>no es sobre fichas nuevas</w:t>
      </w:r>
      <w:r>
        <w:t xml:space="preserve">, sino sobre las </w:t>
      </w:r>
      <w:r>
        <w:rPr>
          <w:b/>
          <w:bCs/>
        </w:rPr>
        <w:t>22 fichas que ya existen</w:t>
      </w:r>
      <w:r>
        <w:t xml:space="preserve"> y que su Dirección reconoce como incorporadas.</w:t>
      </w:r>
    </w:p>
    <w:p w14:paraId="7A5B8E68" w14:textId="77777777" w:rsidR="007C6A54" w:rsidRDefault="00000000">
      <w:pPr>
        <w:pStyle w:val="Textoindependiente"/>
        <w:jc w:val="both"/>
      </w:pPr>
      <w:r>
        <w:rPr>
          <w:b/>
          <w:bCs/>
        </w:rPr>
        <w:t>2.5. El Acuerdo de Adhesión es uno solo y es de SERVICIOS BARTEK E.I.R.L.</w:t>
      </w:r>
      <w:r>
        <w:t xml:space="preserve"> El Acuerdo lo suscribe </w:t>
      </w:r>
      <w:r>
        <w:rPr>
          <w:b/>
          <w:bCs/>
        </w:rPr>
        <w:t>nuestra empresa</w:t>
      </w:r>
      <w:r>
        <w:t xml:space="preserve"> como representante de marca, </w:t>
      </w:r>
      <w:r>
        <w:rPr>
          <w:b/>
          <w:bCs/>
        </w:rPr>
        <w:t>no cada marca por separado</w:t>
      </w:r>
      <w:r>
        <w:t xml:space="preserve">. Nuestras fichas de </w:t>
      </w:r>
      <w:r>
        <w:rPr>
          <w:b/>
          <w:bCs/>
        </w:rPr>
        <w:t>aceite vegetal</w:t>
      </w:r>
      <w:r>
        <w:t xml:space="preserve">, incorporadas </w:t>
      </w:r>
      <w:r>
        <w:rPr>
          <w:b/>
          <w:bCs/>
        </w:rPr>
        <w:t>después</w:t>
      </w:r>
      <w:r>
        <w:t xml:space="preserve"> que las de MOBIS, dependen del </w:t>
      </w:r>
      <w:r>
        <w:rPr>
          <w:b/>
          <w:bCs/>
        </w:rPr>
        <w:t>mismo Acuerdo de Adhesión</w:t>
      </w:r>
      <w:r>
        <w:t xml:space="preserve">. Si ese trámite pendiente impide ofertar, debe afectar por igual a todas nuestras marcas. Si no las afecta, </w:t>
      </w:r>
      <w:r>
        <w:rPr>
          <w:b/>
          <w:bCs/>
        </w:rPr>
        <w:t>la falta de formalización no es la causa</w:t>
      </w:r>
      <w:r>
        <w:t xml:space="preserve"> de que las fichas MOBIS no se vean, y su Dirección debe informarnos la causa real.</w:t>
      </w:r>
    </w:p>
    <w:p w14:paraId="2573197A" w14:textId="77777777" w:rsidR="007C6A54" w:rsidRDefault="00000000">
      <w:pPr>
        <w:pStyle w:val="Textoindependiente"/>
        <w:jc w:val="both"/>
      </w:pPr>
      <w:r>
        <w:rPr>
          <w:b/>
          <w:bCs/>
        </w:rPr>
        <w:t>2.6. La demora es de PERÚ COMPRAS, no nuestra.</w:t>
      </w:r>
      <w:r>
        <w:t xml:space="preserve"> Según el </w:t>
      </w:r>
      <w:r>
        <w:rPr>
          <w:b/>
          <w:bCs/>
        </w:rPr>
        <w:t>literal b) del numeral 9.1.2 de la Directiva N.° 005-2025-PERÚ COMPRAS (Versión 2)</w:t>
      </w:r>
      <w:r>
        <w:t xml:space="preserve">, aprobada por Resolución Jefatural-D N.° 000096-2025-PERÚ COMPRAS-JEFATURA, la formalización del Acuerdo de Adhesión </w:t>
      </w:r>
      <w:r>
        <w:rPr>
          <w:b/>
          <w:bCs/>
        </w:rPr>
        <w:t>corresponde a su Dirección, previa autorización de la Jefatura de PERÚ COMPRAS</w:t>
      </w:r>
      <w:r>
        <w:t xml:space="preserve">. Es decir, </w:t>
      </w:r>
      <w:r>
        <w:rPr>
          <w:b/>
          <w:bCs/>
        </w:rPr>
        <w:t>depende solo de la entidad</w:t>
      </w:r>
      <w:r>
        <w:t xml:space="preserve">. PERÚ COMPRAS fijó como plazo para suscribir el Acuerdo de Adhesión el </w:t>
      </w:r>
      <w:r>
        <w:rPr>
          <w:b/>
          <w:bCs/>
        </w:rPr>
        <w:t>31 de julio de 2026</w:t>
      </w:r>
      <w:r>
        <w:t xml:space="preserve">, y de manera excepcional el </w:t>
      </w:r>
      <w:r>
        <w:rPr>
          <w:b/>
          <w:bCs/>
        </w:rPr>
        <w:t>07 de agosto de 2026</w:t>
      </w:r>
      <w:r>
        <w:t xml:space="preserve">. Nosotros cumplimos. Han pasado </w:t>
      </w:r>
      <w:r>
        <w:rPr>
          <w:b/>
          <w:bCs/>
        </w:rPr>
        <w:t>más de dos meses</w:t>
      </w:r>
      <w:r>
        <w:t xml:space="preserve"> y la formalización sigue “en trámite”, </w:t>
      </w:r>
      <w:r>
        <w:rPr>
          <w:b/>
          <w:bCs/>
        </w:rPr>
        <w:t>sin plazo ni fecha</w:t>
      </w:r>
      <w:r>
        <w:t xml:space="preserve">. Mientras tanto, nuestra empresa y los proveedores pierden periodos de oferta </w:t>
      </w:r>
      <w:r>
        <w:rPr>
          <w:b/>
          <w:bCs/>
        </w:rPr>
        <w:t>por causas que no nos son imputables</w:t>
      </w:r>
      <w:r>
        <w:t>.</w:t>
      </w:r>
    </w:p>
    <w:p w14:paraId="4BA53429" w14:textId="77777777" w:rsidR="007C6A54" w:rsidRDefault="00000000">
      <w:pPr>
        <w:pStyle w:val="Textoindependiente"/>
        <w:jc w:val="both"/>
      </w:pPr>
      <w:r>
        <w:rPr>
          <w:b/>
          <w:bCs/>
        </w:rPr>
        <w:t>2.7. Se afectan los principios de la contratación pública.</w:t>
      </w:r>
      <w:r>
        <w:t xml:space="preserve"> Mantener bloqueadas fichas acreditadas y ofertadas, sin plazo, mientras las de otras marcas del mismo catálogo se ofertan con normalidad, vulnera los principios de </w:t>
      </w:r>
      <w:r>
        <w:rPr>
          <w:b/>
          <w:bCs/>
        </w:rPr>
        <w:t>libertad de concurrencia, igualdad de trato y transparencia</w:t>
      </w:r>
      <w:r>
        <w:t xml:space="preserve"> de la </w:t>
      </w:r>
      <w:r>
        <w:rPr>
          <w:b/>
          <w:bCs/>
        </w:rPr>
        <w:t xml:space="preserve">Ley N.° 32069, Ley General </w:t>
      </w:r>
      <w:r>
        <w:rPr>
          <w:b/>
          <w:bCs/>
        </w:rPr>
        <w:lastRenderedPageBreak/>
        <w:t>de Contrataciones Públicas</w:t>
      </w:r>
      <w:r>
        <w:t xml:space="preserve">, y el </w:t>
      </w:r>
      <w:r>
        <w:rPr>
          <w:b/>
          <w:bCs/>
        </w:rPr>
        <w:t>derecho de petición</w:t>
      </w:r>
      <w:r>
        <w:t xml:space="preserve"> (artículo 2, inciso 20 de la Constitución y </w:t>
      </w:r>
      <w:r>
        <w:rPr>
          <w:b/>
          <w:bCs/>
        </w:rPr>
        <w:t>TUO de la Ley N.° 27444</w:t>
      </w:r>
      <w:r>
        <w:t>).</w:t>
      </w:r>
    </w:p>
    <w:p w14:paraId="1BCEF6BE" w14:textId="77777777" w:rsidR="007C6A54" w:rsidRDefault="00000000">
      <w:pPr>
        <w:pStyle w:val="Ttulo2"/>
      </w:pPr>
      <w:bookmarkStart w:id="2" w:name="lo-que-solicitamos"/>
      <w:bookmarkEnd w:id="1"/>
      <w:r>
        <w:t>3. LO QUE SOLICITAMOS</w:t>
      </w:r>
    </w:p>
    <w:p w14:paraId="6DDC9570" w14:textId="77777777" w:rsidR="007C6A54" w:rsidRDefault="00000000">
      <w:pPr>
        <w:pStyle w:val="FirstParagraph"/>
      </w:pPr>
      <w:r>
        <w:t xml:space="preserve">En un plazo </w:t>
      </w:r>
      <w:r>
        <w:rPr>
          <w:b/>
          <w:bCs/>
        </w:rPr>
        <w:t>no mayor de cinco (5) días hábiles</w:t>
      </w:r>
      <w:r>
        <w:t>:</w:t>
      </w:r>
    </w:p>
    <w:p w14:paraId="425DCF4A" w14:textId="77777777" w:rsidR="007C6A54" w:rsidRDefault="00000000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Formalizar el Acuerdo de Adhesión</w:t>
      </w:r>
      <w:r>
        <w:t xml:space="preserve"> de SERVICIOS BARTEK E.I.R.L. o, si falta algún documento, </w:t>
      </w:r>
      <w:r>
        <w:rPr>
          <w:b/>
          <w:bCs/>
        </w:rPr>
        <w:t>indicarnos por escrito cuál</w:t>
      </w:r>
      <w:r>
        <w:t>.</w:t>
      </w:r>
    </w:p>
    <w:p w14:paraId="23E62F6A" w14:textId="77777777" w:rsidR="007C6A54" w:rsidRDefault="00000000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Habilitar de inmediato las 22 Fichas-Producto de la marca MOBIS</w:t>
      </w:r>
      <w:r>
        <w:t xml:space="preserve"> en estado OFERTADO, para que los proveedores puedan ofertarlas.</w:t>
      </w:r>
    </w:p>
    <w:p w14:paraId="50B5ADB4" w14:textId="77777777" w:rsidR="007C6A54" w:rsidRDefault="00000000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Otorgar un periodo extraordinario</w:t>
      </w:r>
      <w:r>
        <w:t xml:space="preserve"> de presentación de ofertas para nuestras fichas MOBIS, por los periodos perdidos por causas ajenas a nuestra empresa.</w:t>
      </w:r>
    </w:p>
    <w:p w14:paraId="64D5B512" w14:textId="77777777" w:rsidR="007C6A5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Informarnos por escrito</w:t>
      </w:r>
      <w:r>
        <w:t>:</w:t>
      </w:r>
    </w:p>
    <w:p w14:paraId="759055D8" w14:textId="77777777" w:rsidR="007C6A54" w:rsidRDefault="00000000">
      <w:pPr>
        <w:pStyle w:val="Compact"/>
        <w:numPr>
          <w:ilvl w:val="1"/>
          <w:numId w:val="5"/>
        </w:numPr>
        <w:jc w:val="both"/>
      </w:pPr>
      <w:r>
        <w:t xml:space="preserve">Si las 22 fichas MOBIS </w:t>
      </w:r>
      <w:r>
        <w:rPr>
          <w:b/>
          <w:bCs/>
        </w:rPr>
        <w:t>estuvieron habilitadas y visibles</w:t>
      </w:r>
      <w:r>
        <w:t xml:space="preserve"> para los proveedores desde su incorporación y </w:t>
      </w:r>
      <w:r>
        <w:rPr>
          <w:b/>
          <w:bCs/>
        </w:rPr>
        <w:t>en qué periodos</w:t>
      </w:r>
      <w:r>
        <w:t xml:space="preserve">, </w:t>
      </w:r>
      <w:r>
        <w:rPr>
          <w:b/>
          <w:bCs/>
        </w:rPr>
        <w:t>sustentado con los registros de la plataforma</w:t>
      </w:r>
      <w:r>
        <w:t xml:space="preserve"> (historial de estados y fechas de habilitación de cada ficha).</w:t>
      </w:r>
    </w:p>
    <w:p w14:paraId="3D3A254C" w14:textId="77777777" w:rsidR="007C6A54" w:rsidRDefault="00000000">
      <w:pPr>
        <w:pStyle w:val="Compact"/>
        <w:numPr>
          <w:ilvl w:val="1"/>
          <w:numId w:val="5"/>
        </w:numPr>
      </w:pPr>
      <w:r>
        <w:t xml:space="preserve">Si algún proveedor </w:t>
      </w:r>
      <w:r>
        <w:rPr>
          <w:b/>
          <w:bCs/>
        </w:rPr>
        <w:t>presentó ofertas</w:t>
      </w:r>
      <w:r>
        <w:t xml:space="preserve"> sobre nuestras fichas MOBIS y </w:t>
      </w:r>
      <w:r>
        <w:rPr>
          <w:b/>
          <w:bCs/>
        </w:rPr>
        <w:t>en qué fechas</w:t>
      </w:r>
      <w:r>
        <w:t>.</w:t>
      </w:r>
    </w:p>
    <w:p w14:paraId="7AB5A8C0" w14:textId="77777777" w:rsidR="007C6A54" w:rsidRDefault="00000000">
      <w:pPr>
        <w:pStyle w:val="Compact"/>
        <w:numPr>
          <w:ilvl w:val="1"/>
          <w:numId w:val="5"/>
        </w:numPr>
        <w:jc w:val="both"/>
      </w:pPr>
      <w:r>
        <w:rPr>
          <w:b/>
          <w:bCs/>
        </w:rPr>
        <w:t>Desde qué fecha</w:t>
      </w:r>
      <w:r>
        <w:t xml:space="preserve"> y </w:t>
      </w:r>
      <w:r>
        <w:rPr>
          <w:b/>
          <w:bCs/>
        </w:rPr>
        <w:t>mediante qué acto</w:t>
      </w:r>
      <w:r>
        <w:t xml:space="preserve"> las fichas dejaron de estar habilitadas, y </w:t>
      </w:r>
      <w:r>
        <w:rPr>
          <w:b/>
          <w:bCs/>
        </w:rPr>
        <w:t>por qué no se nos notificó</w:t>
      </w:r>
      <w:r>
        <w:t>.</w:t>
      </w:r>
    </w:p>
    <w:p w14:paraId="2617CD48" w14:textId="77777777" w:rsidR="007C6A54" w:rsidRDefault="00000000">
      <w:pPr>
        <w:pStyle w:val="Compact"/>
        <w:numPr>
          <w:ilvl w:val="1"/>
          <w:numId w:val="5"/>
        </w:numPr>
        <w:jc w:val="both"/>
      </w:pPr>
      <w:r>
        <w:t xml:space="preserve">Si nuestras fichas de </w:t>
      </w:r>
      <w:r>
        <w:rPr>
          <w:b/>
          <w:bCs/>
        </w:rPr>
        <w:t>otras marcas</w:t>
      </w:r>
      <w:r>
        <w:t xml:space="preserve"> dependen del mismo Acuerdo de Adhesión y, de ser así, </w:t>
      </w:r>
      <w:r>
        <w:rPr>
          <w:b/>
          <w:bCs/>
        </w:rPr>
        <w:t>por qué reciben un trato distinto</w:t>
      </w:r>
      <w:r>
        <w:t>.</w:t>
      </w:r>
    </w:p>
    <w:p w14:paraId="7A2AFC9F" w14:textId="77777777" w:rsidR="007C6A54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La fecha estimada</w:t>
      </w:r>
      <w:r>
        <w:t xml:space="preserve"> de formalización de nuestro Acuerdo de Adhesión.</w:t>
      </w:r>
    </w:p>
    <w:p w14:paraId="5E2A6C2D" w14:textId="77777777" w:rsidR="007C6A54" w:rsidRDefault="00000000">
      <w:pPr>
        <w:pStyle w:val="FirstParagraph"/>
        <w:jc w:val="both"/>
      </w:pPr>
      <w:r>
        <w:t xml:space="preserve">De no recibir respuesta en el plazo indicado, presentaremos </w:t>
      </w:r>
      <w:r>
        <w:rPr>
          <w:b/>
          <w:bCs/>
        </w:rPr>
        <w:t>queja por defecto de tramitación ante la Jefatura de PERÚ COMPRAS</w:t>
      </w:r>
      <w:r>
        <w:t xml:space="preserve">, conforme al </w:t>
      </w:r>
      <w:r>
        <w:rPr>
          <w:b/>
          <w:bCs/>
        </w:rPr>
        <w:t>artículo 169 del TUO de la Ley N.° 27444</w:t>
      </w:r>
      <w:r>
        <w:t xml:space="preserve">, y solicitaremos el </w:t>
      </w:r>
      <w:r>
        <w:rPr>
          <w:b/>
          <w:bCs/>
        </w:rPr>
        <w:t>deslinde de responsabilidades</w:t>
      </w:r>
      <w:r>
        <w:t xml:space="preserve"> de los servidores a cargo (artículo 261). Asimismo, acudiremos al </w:t>
      </w:r>
      <w:r>
        <w:rPr>
          <w:b/>
          <w:bCs/>
        </w:rPr>
        <w:t>Órgano de Control Institucional de PERÚ COMPRAS</w:t>
      </w:r>
      <w:r>
        <w:t xml:space="preserve"> y a la </w:t>
      </w:r>
      <w:r>
        <w:rPr>
          <w:b/>
          <w:bCs/>
        </w:rPr>
        <w:t>Defensoría del Pueblo</w:t>
      </w:r>
      <w:r>
        <w:t xml:space="preserve">, y nos reservamos el derecho de reclamar los </w:t>
      </w:r>
      <w:r>
        <w:rPr>
          <w:b/>
          <w:bCs/>
        </w:rPr>
        <w:t>daños y perjuicios</w:t>
      </w:r>
      <w:r>
        <w:t xml:space="preserve"> ocasionados (artículo 260).</w:t>
      </w:r>
    </w:p>
    <w:p w14:paraId="1C84E379" w14:textId="18EC10C2" w:rsidR="007C6A54" w:rsidRDefault="00000000">
      <w:pPr>
        <w:pStyle w:val="Textoindependiente"/>
      </w:pPr>
      <w:r>
        <w:t>Atentamente,</w:t>
      </w:r>
    </w:p>
    <w:p w14:paraId="6AB2F841" w14:textId="334BB44D" w:rsidR="007C6A54" w:rsidRDefault="006008F4">
      <w:pPr>
        <w:pStyle w:val="Textoindependiente"/>
      </w:pPr>
      <w:r w:rsidRPr="006008F4">
        <w:drawing>
          <wp:anchor distT="0" distB="0" distL="114300" distR="114300" simplePos="0" relativeHeight="251659264" behindDoc="0" locked="0" layoutInCell="1" allowOverlap="1" wp14:anchorId="40DD1C57" wp14:editId="23A4ABA3">
            <wp:simplePos x="0" y="0"/>
            <wp:positionH relativeFrom="column">
              <wp:posOffset>-3810</wp:posOffset>
            </wp:positionH>
            <wp:positionV relativeFrom="paragraph">
              <wp:posOffset>12065</wp:posOffset>
            </wp:positionV>
            <wp:extent cx="2068830" cy="923925"/>
            <wp:effectExtent l="0" t="0" r="0" b="0"/>
            <wp:wrapSquare wrapText="bothSides"/>
            <wp:docPr id="1516439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93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 </w:t>
      </w:r>
    </w:p>
    <w:p w14:paraId="40507929" w14:textId="77777777" w:rsidR="007C6A54" w:rsidRDefault="00000000">
      <w:r>
        <w:lastRenderedPageBreak/>
        <w:pict w14:anchorId="55B40410">
          <v:rect id="_x0000_i1026" style="width:0;height:1.5pt" o:hralign="center" o:hrstd="t" o:hr="t"/>
        </w:pict>
      </w:r>
    </w:p>
    <w:p w14:paraId="6A44F66E" w14:textId="77777777" w:rsidR="007C6A54" w:rsidRDefault="00000000">
      <w:pPr>
        <w:pStyle w:val="FirstParagraph"/>
      </w:pPr>
      <w:r>
        <w:rPr>
          <w:b/>
          <w:bCs/>
        </w:rPr>
        <w:t>ANEXOS:</w:t>
      </w:r>
    </w:p>
    <w:p w14:paraId="72AEC04F" w14:textId="77777777" w:rsidR="007C6A54" w:rsidRDefault="00000000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Anexo 1:</w:t>
      </w:r>
      <w:r>
        <w:t xml:space="preserve"> Formato N.° 397-2025-ARM, del 10 de junio de 2025 (acreditación de la marca MOBIS).</w:t>
      </w:r>
    </w:p>
    <w:p w14:paraId="35149B8C" w14:textId="77777777" w:rsidR="007C6A54" w:rsidRDefault="00000000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Anexo 2:</w:t>
      </w:r>
      <w:r>
        <w:t xml:space="preserve"> Capturas de la plataforma (perfil proveedor): las fichas MOBIS no aparecen, mientras las de otras marcas sí.</w:t>
      </w:r>
    </w:p>
    <w:p w14:paraId="72A025A5" w14:textId="77777777" w:rsidR="007C6A54" w:rsidRDefault="00000000">
      <w:r>
        <w:br w:type="page"/>
      </w:r>
    </w:p>
    <w:p w14:paraId="04D11857" w14:textId="77777777" w:rsidR="007C6A54" w:rsidRDefault="00000000">
      <w:pPr>
        <w:pStyle w:val="FirstParagraph"/>
      </w:pPr>
      <w:r>
        <w:rPr>
          <w:b/>
          <w:bCs/>
        </w:rPr>
        <w:lastRenderedPageBreak/>
        <w:t>ANEXO 1 – Formato N.° 397-2025-ARM (acreditación de la marca MOBIS)</w:t>
      </w:r>
    </w:p>
    <w:p w14:paraId="649F7C92" w14:textId="77777777" w:rsidR="007C6A54" w:rsidRDefault="00000000">
      <w:pPr>
        <w:pStyle w:val="Textoindependiente"/>
      </w:pPr>
      <w:r>
        <w:rPr>
          <w:noProof/>
        </w:rPr>
        <w:drawing>
          <wp:inline distT="0" distB="0" distL="0" distR="0" wp14:anchorId="760CC21C" wp14:editId="627FA661">
            <wp:extent cx="5334000" cy="7541957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anexos/anexo1_acreditac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1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AEB5E" w14:textId="77777777" w:rsidR="007C6A54" w:rsidRDefault="00000000">
      <w:r>
        <w:br w:type="page"/>
      </w:r>
    </w:p>
    <w:p w14:paraId="67A4586D" w14:textId="77777777" w:rsidR="007C6A54" w:rsidRDefault="00000000">
      <w:pPr>
        <w:pStyle w:val="Textoindependiente"/>
      </w:pPr>
      <w:r>
        <w:rPr>
          <w:b/>
          <w:bCs/>
        </w:rPr>
        <w:lastRenderedPageBreak/>
        <w:t>ANEXO 2 – Capturas de la plataforma (perfil proveedor)</w:t>
      </w:r>
    </w:p>
    <w:p w14:paraId="26E1414A" w14:textId="77777777" w:rsidR="007C6A54" w:rsidRDefault="00000000">
      <w:pPr>
        <w:pStyle w:val="Textoindependiente"/>
      </w:pPr>
      <w:r>
        <w:rPr>
          <w:b/>
          <w:bCs/>
        </w:rPr>
        <w:t>2.1. Búsqueda de un modelo de la marca MOBIS: “No se encontraron registros”.</w:t>
      </w:r>
    </w:p>
    <w:p w14:paraId="2A9278BE" w14:textId="77777777" w:rsidR="007C6A54" w:rsidRDefault="00000000">
      <w:pPr>
        <w:pStyle w:val="Textoindependiente"/>
      </w:pPr>
      <w:r>
        <w:rPr>
          <w:noProof/>
        </w:rPr>
        <w:drawing>
          <wp:inline distT="0" distB="0" distL="0" distR="0" wp14:anchorId="561EBAF8" wp14:editId="73F78CDD">
            <wp:extent cx="4319999" cy="209959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nexos/anexo3a_busqueda_boloni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09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2EE817" w14:textId="77777777" w:rsidR="007C6A54" w:rsidRDefault="00000000">
      <w:pPr>
        <w:pStyle w:val="Textoindependiente"/>
      </w:pPr>
      <w:r>
        <w:rPr>
          <w:b/>
          <w:bCs/>
        </w:rPr>
        <w:t>2.2. Búsqueda “mobis”: aparecen fichas de otra marca (MOBISEAT), pero no las de MOBIS.</w:t>
      </w:r>
    </w:p>
    <w:p w14:paraId="328A96BE" w14:textId="77777777" w:rsidR="007C6A54" w:rsidRDefault="00000000">
      <w:pPr>
        <w:pStyle w:val="Textoindependiente"/>
      </w:pPr>
      <w:r>
        <w:rPr>
          <w:noProof/>
        </w:rPr>
        <w:drawing>
          <wp:inline distT="0" distB="0" distL="0" distR="0" wp14:anchorId="7AE3F324" wp14:editId="15F3ABD5">
            <wp:extent cx="3059999" cy="246169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nexos/anexo3b_busqueda_mobi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2461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5CF71" w14:textId="77777777" w:rsidR="007C6A54" w:rsidRDefault="00000000">
      <w:pPr>
        <w:pStyle w:val="Textoindependiente"/>
      </w:pPr>
      <w:r>
        <w:rPr>
          <w:b/>
          <w:bCs/>
        </w:rPr>
        <w:t>2.3. Las fichas de otras marcas sí aparecen y se pueden ofertar.</w:t>
      </w:r>
    </w:p>
    <w:p w14:paraId="04B3E26B" w14:textId="77777777" w:rsidR="007C6A54" w:rsidRDefault="00000000">
      <w:pPr>
        <w:pStyle w:val="Textoindependiente"/>
      </w:pPr>
      <w:r>
        <w:rPr>
          <w:noProof/>
        </w:rPr>
        <w:drawing>
          <wp:inline distT="0" distB="0" distL="0" distR="0" wp14:anchorId="4013D8AE" wp14:editId="546C5DEE">
            <wp:extent cx="3059999" cy="1838028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nexos/anexo3c_otra_marca_si_aparec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183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"/>
    </w:p>
    <w:sectPr w:rsidR="007C6A5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47DC" w14:textId="77777777" w:rsidR="002E4867" w:rsidRDefault="002E4867">
      <w:pPr>
        <w:spacing w:after="0"/>
      </w:pPr>
      <w:r>
        <w:separator/>
      </w:r>
    </w:p>
  </w:endnote>
  <w:endnote w:type="continuationSeparator" w:id="0">
    <w:p w14:paraId="329C30E1" w14:textId="77777777" w:rsidR="002E4867" w:rsidRDefault="002E48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BF54" w14:textId="77777777" w:rsidR="002E4867" w:rsidRDefault="002E4867">
      <w:r>
        <w:separator/>
      </w:r>
    </w:p>
  </w:footnote>
  <w:footnote w:type="continuationSeparator" w:id="0">
    <w:p w14:paraId="11F4251A" w14:textId="77777777" w:rsidR="002E4867" w:rsidRDefault="002E48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CCFA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CCC3C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3BA342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721"/>
    <w:multiLevelType w:val="multilevel"/>
    <w:tmpl w:val="0044A1F8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" w16cid:durableId="255795014">
    <w:abstractNumId w:val="0"/>
  </w:num>
  <w:num w:numId="2" w16cid:durableId="136524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1992963">
    <w:abstractNumId w:val="1"/>
  </w:num>
  <w:num w:numId="4" w16cid:durableId="2024630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26629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02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A54"/>
    <w:rsid w:val="000F1026"/>
    <w:rsid w:val="002E4867"/>
    <w:rsid w:val="006008F4"/>
    <w:rsid w:val="007C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EFF1A"/>
  <w15:docId w15:val="{14D0CCAC-C86E-477E-968A-2A3D08C1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1102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Richard Saldaña Avalos</cp:lastModifiedBy>
  <cp:revision>2</cp:revision>
  <dcterms:created xsi:type="dcterms:W3CDTF">2026-10-16T23:28:00Z</dcterms:created>
  <dcterms:modified xsi:type="dcterms:W3CDTF">2026-10-16T23:39:00Z</dcterms:modified>
</cp:coreProperties>
</file>